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Manufactured-Threat Future Thread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GM-only continuity reference. Do not show as a player handout.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GM-only future-thread canon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Not player-safe. Keep this page private.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The forest is not the enemy. Corporations manufacture fear of the Preserve to sell protection from it.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page to keep the manufactured-threat clues consistent across future sessions while keeping the one-shot surface plot intact.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Manufactured-Threat Future Thread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forest is not the enemy. Corporations manufacture fear of the Preserve to sell protection from it. Give obvious visible facts freely; roll for meaning, risk, leverage, cost, or a hidden angle.</w:t>
      </w:r>
    </w:p>
    <w:p>
      <w:pPr>
        <w:pStyle w:val="Normal"/>
      </w:pPr>
      <w:r>
        <w:t xml:space="preserve">Rolls: entity-manufactured-threat-future-thread-engage-manufactured-threat-future-thread entity-manufactured-threat-future-thread Engage Manufactured-Threat Future Thread Engage Manufactured-Threat Future Thread Knowledge Finesse Instinct Presence Knowledge Finesse, Instinct, Presence 12 Choose the trait from the player's method, not the entity type. A flat read of Manufactured-Threat Future Thread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No loot. Treat this as a private continuity note for future sessions.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cbf264ca298af983 | Source hash 6753a06c32e5dca07a19eb73</w:t>
      </w:r>
    </w:p>
    <w:sectPr/>
  </w:body>
</w:document>
</file>