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Mountain Crabs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The crabs look carved from the mountain until they move. Moss and tiny flowers ride their stone shells while their claws test the road edge.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Crab-shell resource and climbing-route pressure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Granite-shelled cliff crabs with moss and alpine flowers growing on their backs, stone-heavy claws, many gripping legs, and wary eyes made for vertical roads.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as Titan's Steps texture: resource, danger, respect test, and a way to make vertical travel feel alive.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b332eb4941f435a1 | Source hash 6753a06c32e5dca07a19eb73</w:t>
      </w:r>
    </w:p>
    <w:sectPr/>
  </w:body>
</w:document>
</file>