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Spotlight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Daggerheart combat flows through spotlight rather than initiative order.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to pass attention where the fiction is hottest.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to pass attention where the fiction is hottest.</w:t>
      </w:r>
    </w:p>
    <w:p>
      <w:pPr>
        <w:pStyle w:val="Normal"/>
      </w:pPr>
      <w:r>
        <w:t xml:space="preserve">No fixed initiative; spotlight follows fiction.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there initiative?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gm-moves</w:t>
      </w:r>
    </w:p>
    <w:p>
      <w:pPr>
        <w:pStyle w:val="Normal"/>
      </w:pPr>
      <w:r>
        <w:t xml:space="preserve">adversary-attacks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ce95e8b298f6a6f0 | Source hash 6753a06c32e5dca07a19eb73</w:t>
      </w:r>
    </w:p>
    <w:sectPr/>
  </w:body>
</w:document>
</file>