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Hope</w:t>
      </w:r>
    </w:p>
    <w:p>
      <w:pPr>
        <w:pStyle w:val="Normal"/>
      </w:pPr>
      <w:r>
        <w:t xml:space="preserve">What it is</w:t>
      </w:r>
    </w:p>
    <w:p>
      <w:pPr>
        <w:pStyle w:val="Normal"/>
      </w:pPr>
      <w:r>
        <w:t xml:space="preserve">Player resource gained from Hope results and spent to help or use features.</w:t>
      </w:r>
    </w:p>
    <w:p>
      <w:pPr>
        <w:pStyle w:val="Normal"/>
      </w:pPr>
      <w:r>
        <w:t xml:space="preserve">How it works</w:t>
      </w:r>
    </w:p>
    <w:p>
      <w:pPr>
        <w:pStyle w:val="Normal"/>
      </w:pPr>
      <w:r>
        <w:t xml:space="preserve">Use when players want to support a roll, use an Experience, Tag Team, or trigger a feature.</w:t>
      </w:r>
    </w:p>
    <w:p>
      <w:pPr>
        <w:pStyle w:val="Normal"/>
      </w:pPr>
      <w:r>
        <w:t xml:space="preserve">Step by step</w:t>
      </w:r>
    </w:p>
    <w:p>
      <w:pPr>
        <w:pStyle w:val="Normal"/>
      </w:pPr>
      <w:r>
        <w:t xml:space="preserve">Use when players want to support a roll, use an Experience, Tag Team, or trigger a feature.</w:t>
      </w:r>
    </w:p>
    <w:p>
      <w:pPr>
        <w:pStyle w:val="Normal"/>
      </w:pPr>
      <w:r>
        <w:t xml:space="preserve">Help, use an Experience, Tag Team, or use a Hope Feature.</w:t>
      </w:r>
    </w:p>
    <w:p>
      <w:pPr>
        <w:pStyle w:val="Normal"/>
      </w:pPr>
      <w:r>
        <w:t xml:space="preserve">Return to the fiction with the concrete result, cost, or benefit.</w:t>
      </w:r>
    </w:p>
    <w:p>
      <w:pPr>
        <w:pStyle w:val="Normal"/>
      </w:pPr>
      <w:r>
        <w:t xml:space="preserve">Try it</w:t>
      </w:r>
    </w:p>
    <w:p>
      <w:pPr>
        <w:pStyle w:val="Normal"/>
      </w:pPr>
      <w:r>
        <w:t xml:space="preserve">What can I do with Hope?</w:t>
      </w:r>
    </w:p>
    <w:p>
      <w:pPr>
        <w:pStyle w:val="Normal"/>
      </w:pPr>
      <w:r>
        <w:t xml:space="preserve">Related rules</w:t>
      </w:r>
    </w:p>
    <w:p>
      <w:pPr>
        <w:pStyle w:val="Normal"/>
      </w:pPr>
      <w:r>
        <w:t xml:space="preserve">help-an-ally</w:t>
      </w:r>
    </w:p>
    <w:p>
      <w:pPr>
        <w:pStyle w:val="Normal"/>
      </w:pPr>
      <w:r>
        <w:t xml:space="preserve">experiences</w:t>
      </w:r>
    </w:p>
    <w:p>
      <w:pPr>
        <w:pStyle w:val="Normal"/>
      </w:pPr>
      <w:r>
        <w:t xml:space="preserve">tag-team-roll</w:t>
      </w:r>
    </w:p>
    <w:p>
      <w:pPr>
        <w:pStyle w:val="Normal"/>
      </w:pPr>
      <w:r>
        <w:t xml:space="preserve">Source</w:t>
      </w:r>
    </w:p>
    <w:p>
      <w:pPr>
        <w:pStyle w:val="Normal"/>
      </w:pPr>
      <w:r>
        <w:t xml:space="preserve">Official SRD / local quickstart reference. Use private full-rulebook material only at the table.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ead4410eef5ad2f7 | Source hash 6753a06c32e5dca07a19eb73</w:t>
      </w:r>
    </w:p>
    <w:sectPr/>
  </w:body>
</w:document>
</file>