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Long Rest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Extended downtime recovery; the GM gains 1d4 plus the number of PCs in Fear and may advance a long-term countdown.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between adventures or when a sequel session gives the party real downtime.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between adventures or when a sequel session gives the party real downtime.</w:t>
      </w:r>
    </w:p>
    <w:p>
      <w:pPr>
        <w:pStyle w:val="Normal"/>
      </w:pPr>
      <w:r>
        <w:t xml:space="preserve">Not during immediate danger. Use short rest inside the one-shot; save long rest for continuation play and long-term pressure.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we long rest?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short-rest</w:t>
      </w:r>
    </w:p>
    <w:p>
      <w:pPr>
        <w:pStyle w:val="Normal"/>
      </w:pPr>
      <w:r>
        <w:t xml:space="preserve">level-up</w:t>
      </w:r>
    </w:p>
    <w:p>
      <w:pPr>
        <w:pStyle w:val="Normal"/>
      </w:pPr>
      <w:r>
        <w:t xml:space="preserve">domain-cards</w:t>
      </w:r>
    </w:p>
    <w:p>
      <w:pPr>
        <w:pStyle w:val="Normal"/>
      </w:pPr>
      <w:r>
        <w:t xml:space="preserve">countdown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e15fcb41b55f8a17 | Source hash 6753a06c32e5dca07a19eb73</w:t>
      </w:r>
    </w:p>
    <w:sectPr/>
  </w:body>
</w:document>
</file>