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Ranges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uses bands like Melee, Very Close, Close, Far, and Very Far.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distance matters to weapons, spells, or positioning.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distance matters to weapons, spells, or positioning.</w:t>
      </w:r>
    </w:p>
    <w:p>
      <w:pPr>
        <w:pStyle w:val="Normal"/>
      </w:pPr>
      <w:r>
        <w:t xml:space="preserve">Use the range band that best fits the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far away is it?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adversary-attacks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19a114918dca9215 | Source hash 6753a06c32e5dca07a19eb73</w:t>
      </w:r>
    </w:p>
    <w:sectPr/>
  </w:body>
</w:document>
</file>