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Temporary Effects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Temporary conditions or effects can be cleared through the listed move, feature text, natural end, or spell/Fear procedure.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feature says an effect or condition is temporary.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feature says an effect or condition is temporary.</w:t>
      </w:r>
    </w:p>
    <w:p>
      <w:pPr>
        <w:pStyle w:val="Normal"/>
      </w:pPr>
      <w:r>
        <w:t xml:space="preserve">Use the effect text first. If it is a temporary condition, clear it through the appropriate move or spotlight procedure.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does temporary end?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conditions</w:t>
      </w:r>
    </w:p>
    <w:p>
      <w:pPr>
        <w:pStyle w:val="Normal"/>
      </w:pPr>
      <w:r>
        <w:t xml:space="preserve">action-roll</w:t>
      </w:r>
    </w:p>
    <w:p>
      <w:pPr>
        <w:pStyle w:val="Normal"/>
      </w:pPr>
      <w:r>
        <w:t xml:space="preserve">fear</w:t>
      </w:r>
    </w:p>
    <w:p>
      <w:pPr>
        <w:pStyle w:val="Normal"/>
      </w:pPr>
      <w:r>
        <w:t xml:space="preserve">spellcast-rolls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42364d86d3a6cfa6 | Source hash 6753a06c32e5dca07a19eb73</w:t>
      </w:r>
    </w:p>
    <w:sectPr/>
  </w:body>
</w:document>
</file>