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CHEAT-CONDITIONS - Conditions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Apply conditions as fictional pressure, not bookkeeping.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Hidden: While out of sight from all foes and they do not know where you are, rolls against you have disadvantage. Clears when: An adversary moves where they would see you, you move into line of sight, or you make an attack.</w:t>
      </w:r>
    </w:p>
    <w:p>
      <w:pPr>
        <w:pStyle w:val="Normal"/>
      </w:pPr>
      <w:r>
        <w:t xml:space="preserve">Restrained: You cannot move, but you can still take actions from your current position. Clears when: A temporary source is cleared with a fitting action roll, a stated feature requirement, or the source ends.</w:t>
      </w:r>
    </w:p>
    <w:p>
      <w:pPr>
        <w:pStyle w:val="Normal"/>
      </w:pPr>
      <w:r>
        <w:t xml:space="preserve">Vulnerable: You are in a difficult position in the fiction; all rolls targeting you have advantage. Clears when: A temporary source is cleared with a fitting action roll, a stated feature requirement, or the source ends.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9e69d1c91c2962b5 | Source hash 6753a06c32e5dca07a19eb73</w:t>
      </w:r>
    </w:p>
    <w:sectPr/>
  </w:body>
</w:document>
</file>