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MAP-LOC-firstmoss-launch-festival - Firstmoss Launch Festival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lane opens into a village festival: green lanterns, mossfruit cakes, damp banners, children under watchful eyes, and music doing its best to be louder than the ward's uneven hum.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lane opens into a village festival: green lanterns, mossfruit cakes, damp banners, children under watchful eyes, and music doing its best to be louder than the ward's uneven hum.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the festival as optional joy with a concrete boon and a quiet farm/ward seed.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"Festival participation is a real option, not filler. If the party joins sincerely, name the boon before moving on."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festival_participation Festival Participation checkbox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25fba127d0a11069 | Source hash 6753a06c32e5dca07a19eb73</w:t>
      </w:r>
    </w:p>
    <w:sectPr/>
  </w:body>
</w:document>
</file>