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MAP-S01-02 - Overturned Vendor Cart Scene Board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A vendor cart blocks the bend. Scattered fruit, broken jars, torn canvas, and muddy wheel ruts make the road feel suddenly too narrow. Something moves on the far side.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A vendor cart blocks the bend. Scattered fruit, broken jars, torn canvas, and muddy wheel ruts make the road feel suddenly too narrow. Something moves on the far side.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Use this as an investigation board: orient the blocked road, let the table inspect the wreck, and route the far-side movement into the creature reveal.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Non-combat board. If players attack into the underbrush, switch to MAP-COMBAT-S01-03.</w:t>
      </w:r>
    </w:p>
    <w:p>
      <w:pPr>
        <w:pStyle w:val="Normal"/>
      </w:pPr>
      <w:r>
        <w:t xml:space="preserve">Keep the creature as movement and sound until S01-03 unless players push directly to the far side.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"Use the board like a crime scene. Point to where the carriage stops, where the cart blocks the road, and where the feeding sound comes from. Then ask: who checks the cart, who checks the body, and who watches the far side?"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slitThroatDiscovered Slit throat discovered checkbox Use this for later story coherence.</w:t>
      </w:r>
    </w:p>
    <w:p>
      <w:pPr>
        <w:pStyle w:val="Normal"/>
      </w:pPr>
      <w:r>
        <w:t xml:space="preserve">brambleSeedFound Bramble seed found checkbox Seed only; do not resolve in Act 1.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f4bce178ba178493 | Source hash 6753a06c32e5dca07a19eb73</w:t>
      </w:r>
    </w:p>
    <w:sectPr/>
  </w:body>
</w:document>
</file>