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Keystone Asset™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Inside the sealed crate, packed in wax-paper and reassurance, sits a heavy grey stone the size of a loaf, warm to the touch, faintly humming, with a light deep inside it that is slowly going out.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Inside the sealed crate, packed in wax-paper and reassurance, sits a heavy grey stone the size of a loaf, warm to the touch, faintly humming, with a light deep inside it that is slowly going out.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EMERIS CROWN HOLDINGS: Your Asset, Handled With Care. Fully insured against loss, theft, and most acts of god. Please do not open, touch, tilt, comfort, or speak to your Asset.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Reach the Whitefire Custodian and the Open Vale ritual. Sensing what it truly is uses Instinct 15 when the fiction supports it.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0a3aedb00cda5b1d | Source hash 6753a06c32e5dca07a19eb73</w:t>
      </w:r>
    </w:p>
    <w:sectPr/>
  </w:body>
</w:document>
</file>