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Spidermanders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Spider-salamander hybrids coat themselves in pale ash, gripping stone with too many soft feet and leaving damp prints where the ground should be dry.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Spider-salamander hybrids coat themselves in pale ash, gripping stone with too many soft feet and leaving damp prints where the ground should be dry.; show instinct first through distance, posture, scent, and how the creature protects...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Root's Hollow, The Ash Quarry, Underroot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477902f1179c91ab | Source hash 6753a06c32e5dca07a19eb73</w:t>
      </w:r>
    </w:p>
    <w:sectPr/>
  </w:body>
</w:document>
</file>