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Falling / Collision Damage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SRD guidance for falls and dangerous-speed collisions.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SRD guidance for falls and dangerous-speed collisions.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Falling / Collision Damage: SRD guidance for falls and dangerous-speed collisions.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much damage is the fall?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fall or collision is a real consequence already established in the fiction.</w:t>
      </w:r>
    </w:p>
    <w:p>
      <w:pPr>
        <w:pStyle w:val="Normal"/>
      </w:pPr>
      <w:r>
        <w:t xml:space="preserve">Use the SRD fall/collision guide and scale it to the range, speed, and established danger.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a04a304161011fbe | Source hash 6753a06c32e5dca07a19eb73</w:t>
      </w:r>
    </w:p>
    <w:sectPr/>
  </w:body>
</w:document>
</file>