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Lucent Water™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corked bottle glows moonlit blue from inside, even in daylight, even in your pack. The water looks calm enough to sell itself.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corked bottle glows moonlit blue from inside, even in daylight, even in your pack. The water looks calm enough to sell itself.</w:t>
      </w:r>
    </w:p>
    <w:p>
      <w:pPr>
        <w:pStyle w:val="Normal"/>
      </w:pPr>
      <w:r>
        <w:t xml:space="preserve">Maker Voice</w:t>
      </w:r>
    </w:p>
    <w:p>
      <w:pPr>
        <w:pStyle w:val="Normal"/>
      </w:pPr>
      <w:r>
        <w:t xml:space="preserve">HEXMART LUCENT WATER: Now With Glow. Glow Is a Feature, Not a Concern. May heal. May simply be very pretty water.</w:t>
      </w:r>
    </w:p>
    <w:p>
      <w:pPr>
        <w:pStyle w:val="Normal"/>
      </w:pPr>
      <w:r>
        <w:t xml:space="preserve">At The Table</w:t>
      </w:r>
    </w:p>
    <w:p>
      <w:pPr>
        <w:pStyle w:val="Normal"/>
      </w:pPr>
      <w:r>
        <w:t xml:space="preserve">Minor healing or restorative at GM discretion when genuine and fresh; bottled stock may be flavor only.</w:t>
      </w:r>
    </w:p>
    <w:p>
      <w:pPr>
        <w:pStyle w:val="Normal"/>
      </w:pPr>
      <w:r>
        <w:t xml:space="preserve">Spec</w:t>
      </w:r>
    </w:p>
    <w:p>
      <w:pPr>
        <w:pStyle w:val="Normal"/>
      </w:pPr>
      <w:r>
        <w:t xml:space="preserve">Use: Use when the item is worn, consumed, presented, inspected, traded, or applied in the fiction.</w:t>
      </w:r>
    </w:p>
    <w:p>
      <w:pPr>
        <w:pStyle w:val="Normal"/>
      </w:pPr>
      <w:r>
        <w:t xml:space="preserve">Benefit: The player gains the listed effect, leverage, clue, access, protection, or fictional permission when the item is earned.</w:t>
      </w:r>
    </w:p>
    <w:p>
      <w:pPr>
        <w:pStyle w:val="Normal"/>
      </w:pPr>
      <w:r>
        <w:t xml:space="preserve">Limit: If the item is a consumable, it is spent after use. If it is evidence or access, it creates leverage instead of a...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1ea6e93eb170c0e4 | Source hash 6753a06c32e5dca07a19eb73</w:t>
      </w:r>
    </w:p>
    <w:sectPr/>
  </w:body>
</w:document>
</file>