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Mountain Crabs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Granite-shelled cliff crabs with moss and alpine flowers growing on their backs, stone-heavy claws, many gripping legs, and wary eyes made for vertical roads.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Huge stone-shelled crabs adapted to cliffs, granite armor, moss and small alpine flowers, many legs gripping rock, and beadlike wary eyes.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Grumpy granite tenants of the cliff with gardens growing on their own backs. Not malicious, just enormous and territorial on a road where one bad step is the last. They were here long before the climbing route and resent the traffic.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Falling, fire, and the vibration of too many boots drumming on their rock.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12bcebd5012360a5 | Source hash 6753a06c32e5dca07a19eb73</w:t>
      </w:r>
    </w:p>
    <w:sectPr/>
  </w:body>
</w:document>
</file>