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 Route Network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Sunken, well-worn routes through Sablewood where licensed knowledge, family route-data, and corporate coverage determine who is allowed to be safe.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Sunken, well-worn routes through Sablewood where licensed knowledge, family route-data, and corporate coverage determine who is allowed to be safe.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A specific Goldspire place with its own roads, work, food, people, and local habits.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small local wildlife reacts before people do No default combatant; add only if the scene introduces one Local civic, trade, or route interests Food, tools, route signs, local goods, or scene-specific clues...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Use local food, drink, market smells, and ordinary work to make the place feel lived-in before plot enters.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a168874d619e0a57 | Source hash 6753a06c32e5dca07a19eb73</w:t>
      </w:r>
    </w:p>
    <w:sectPr/>
  </w:body>
</w:document>
</file>