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ACT-THREE - Act Three: Seeking a Custodian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road softens. The trees do not change, but the air does: warmer, kinder, like a held breath finally letting go. Ahead, lantern-light and music gather around ordinary people who feel safe. Somewhere in this village...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road softens. The trees do not change, but the air does: warmer, kinder, like a held breath finally letting go. Ahead, lantern-light and music gather around ordinary people who feel safe. Somewhere in this village is the person you were sent to find. All...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Reach the village, find the person who can receive the package, and deliver it.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7d06f623607cfa2d | Source hash 6753a06c32e5dca07a19eb73</w:t>
      </w:r>
    </w:p>
    <w:sectPr/>
  </w:body>
</w:document>
</file>