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MAP-LOC-firstmoss-launch-festival - Firstmoss Launch Festival Location Map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The lane opens into a village festival: green lanterns, mossfruit cakes, damp banners, children under watchful eyes, and music doing its best to be louder than the ward's uneven hum.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The lane opens into a village festival: green lanterns, mossfruit cakes, damp banners, children under watchful eyes, and music doing its best to be louder than the ward's uneven hum.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The lane opens into a village festival: green lanterns, mossfruit cakes, damp banners, children under watchful eyes, and music doing its best to be louder than the ward's uneven hum.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4270c77750740a61 | Source hash 6753a06c32e5dca07a19eb73</w:t>
      </w:r>
    </w:p>
    <w:sectPr/>
  </w:body>
</w:document>
</file>