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Goldwater-Grail Toll Crew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Three toll enforcers hold the road in matching gold-white livery: ledger, coin box, spear, and shield all arranged to make refusal look like trespass.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Corporate toll crew that invades Underroot routes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Gold-and-white road enforcers in polished livery and practical armor, carrying a stamped ledger, coin box, spear, and shield like a toll can become a verdict.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Use the stat pressure, but keep the story pressure tied to the system that produced the threat.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as corporate road pressure in fantasy form: a fee booth with armor, paperwork, and enough force to make Underroot feel taxable.</w:t>
      </w:r>
    </w:p>
    <w:p>
      <w:pPr>
        <w:pStyle w:val="Normal"/>
      </w:pPr>
      <w:r>
        <w:t xml:space="preserve">Mechanics</w:t>
      </w:r>
    </w:p>
    <w:p>
      <w:pPr>
        <w:pStyle w:val="Normal"/>
      </w:pPr>
      <w:r>
        <w:t xml:space="preserve">Title: Combat / Bypass Mechanics</w:t>
      </w:r>
    </w:p>
    <w:p>
      <w:pPr>
        <w:pStyle w:val="Normal"/>
      </w:pPr>
      <w:r>
        <w:t xml:space="preserve">Player Safe: Players can fight, capture, interrogate, or bypass Goldwater-Grail Toll Crew when it is present in the fiction.</w:t>
      </w:r>
    </w:p>
    <w:p>
      <w:pPr>
        <w:pStyle w:val="Normal"/>
      </w:pPr>
      <w:r>
        <w:t xml:space="preserve">Gm Only: Use the roll only when the player's method, stakes, and consequence are concrete.</w:t>
      </w:r>
    </w:p>
    <w:p>
      <w:pPr>
        <w:pStyle w:val="Normal"/>
      </w:pPr>
      <w:r>
        <w:t xml:space="preserve">No Roll Reveals: Surface read: Gold-and-white road enforcers in polished livery and practical armor, carrying a stamped ledger, coin box, spear, and shield like a toll can become a verdict. Give obvious visible facts freely; roll for meaning, risk, leverage, cost, or a hidden angle.</w:t>
      </w:r>
    </w:p>
    <w:p>
      <w:pPr>
        <w:pStyle w:val="Normal"/>
      </w:pPr>
      <w:r>
        <w:t xml:space="preserve">Rolls: entity-goldwater-grail-toll-crew-engage-goldwater-grail-toll-crew entity-goldwater-grail-toll-crew Engage Goldwater-Grail Toll Crew Engage Goldwater-Grail Toll Crew Agility Strength Finesse Presence Knowledge Instinct Agility Strength, Finesse, Presence, Knowledge, Instinct 15 Choose the trait from the player's method, not the entity type. A flat read of Goldwater-Grail Toll Crew hides the cost, motive, or useful next step. Critical Success: best possible version of the action; gain Hope and clear 1 Stress. Add an extra benefit that follows from the fiction. Success with Hope: the PC gets what they wanted and gains Hope. Keep the position clean or generous. Success with Fear: the PC gets what they wanted, but the GM gains Fear and introduces a cost, complication, or pressure. Failure with Hope: the PC does not get the full result, but gains Hope and receives a useful thread, clue, or...</w:t>
      </w:r>
    </w:p>
    <w:p>
      <w:pPr>
        <w:pStyle w:val="Normal"/>
      </w:pPr>
      <w:r>
        <w:t xml:space="preserve">Fear Spends: Reveal who benefits from the current situation. Make the cost personal without closing off player agency.</w:t>
      </w:r>
    </w:p>
    <w:p>
      <w:pPr>
        <w:pStyle w:val="Normal"/>
      </w:pPr>
      <w:r>
        <w:t xml:space="preserve">Condition Options: Vulnerable Restrained</w:t>
      </w:r>
    </w:p>
    <w:p>
      <w:pPr>
        <w:pStyle w:val="Normal"/>
      </w:pPr>
      <w:r>
        <w:t xml:space="preserve">Search Loot: Search yields context first: spoor, warning marks, tool scratches, route signs, or local testimony unless a scene names treasure.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7e8c0146a3779547 | Source hash dac3370046ed077140fab2d6</w:t>
      </w:r>
    </w:p>
    <w:sectPr/>
  </w:body>
</w:document>
</file>