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Mountain Crabs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The crabs look carved from the mountain until they move. Moss and tiny flowers ride their stone shells while their claws test the road edge.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Crab-shell resource and climbing-route pressure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Granite-shelled cliff crabs with moss and alpine flowers growing on their backs, stone-heavy claws, many gripping legs, and wary eyes made for vertical roads.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as Titan's Steps texture: resource, danger, respect test, and a way to make vertical travel feel alive.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b332eb4941f435a1 | Source hash dac3370046ed077140fab2d6</w:t>
      </w:r>
    </w:p>
    <w:sectPr/>
  </w:body>
</w:document>
</file>