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Sealed Keystone Crate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A sealed crate sits in the back of the carriage, heavier than it looks, banded shut, and unmarked. You're told three things: it is important, you are not to open it, and it goes to the village.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The sealed package the party is hired to escort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The package is sealed and important. Deliver it. Do not open it.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This is the container around the Keystone Asset, but the Prologue must never put that name in player-facing text.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Make the mystery physical without solving it. The crate is a job constraint first and a reveal later.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Sealed Keystone Crate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heavy sealed crate in the back of the carriage. In the Prologue it is only the package. Give obvious visible facts freely; roll for meaning, risk, leverage, cost, or a hidden angle.</w:t>
      </w:r>
    </w:p>
    <w:p>
      <w:pPr>
        <w:pStyle w:val="Normal"/>
      </w:pPr>
      <w:r>
        <w:t xml:space="preserve">Rolls: entity-sealed-keystone-crate-engage-sealed-keystone-crate entity-sealed-keystone-crate Engage Sealed Keystone Crate Engage Sealed Keystone Crate Knowledge Finesse Instinct Presence Knowledge Finesse, Instinct, Presence 12 Choose the trait from the player's method, not the entity type. A flat read of Sealed Keystone Crate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Tampering logs the attempt and may create later corporate attention; careful inspection shows the cargo is ward-related.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47b3b334a6162359 | Source hash dac3370046ed077140fab2d6</w:t>
      </w:r>
    </w:p>
    <w:sectPr/>
  </w:body>
</w:document>
</file>