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Spotlight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Daggerheart combat flows through spotlight rather than initiative order.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to pass attention where the fiction is hottest.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to pass attention where the fiction is hottest.</w:t>
      </w:r>
    </w:p>
    <w:p>
      <w:pPr>
        <w:pStyle w:val="Normal"/>
      </w:pPr>
      <w:r>
        <w:t xml:space="preserve">No fixed initiative; spotlight follows fiction.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there initiative?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gm-moves</w:t>
      </w:r>
    </w:p>
    <w:p>
      <w:pPr>
        <w:pStyle w:val="Normal"/>
      </w:pPr>
      <w:r>
        <w:t xml:space="preserve">adversary-attacks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ce95e8b298f6a6f0 | Source hash dac3370046ed077140fab2d6</w:t>
      </w:r>
    </w:p>
    <w:sectPr/>
  </w:body>
</w:document>
</file>