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Ancestry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character's people/species choice and its official feature package.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character creation and when ancestry fiction clearly explains how a PC perceives or approaches a moment.</w:t>
      </w:r>
    </w:p>
    <w:p>
      <w:pPr>
        <w:pStyle w:val="Normal"/>
      </w:pPr>
      <w:r>
        <w:t xml:space="preserve">Use the printed ancestry feature. For scene flavor, give a distinct clue angle without changing math unless the table grants advantage or adjusts Difficulty.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Does ancestry change rolls?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heritage</w:t>
      </w:r>
    </w:p>
    <w:p>
      <w:pPr>
        <w:pStyle w:val="Normal"/>
      </w:pPr>
      <w:r>
        <w:t xml:space="preserve">community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ace48e7141f7f609 | Source hash dac3370046ed077140fab2d6</w:t>
      </w:r>
    </w:p>
    <w:sectPr/>
  </w:body>
</w:document>
</file>