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Community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character's social origin and the official feature tied to that origin.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at character creation and when a PC's upbringing explains what they know, fear, or notice.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at character creation and when a PC's upbringing explains what they know, fear, or notice.</w:t>
      </w:r>
    </w:p>
    <w:p>
      <w:pPr>
        <w:pStyle w:val="Normal"/>
      </w:pPr>
      <w:r>
        <w:t xml:space="preserve">Use the printed community feature and let the background shape how the same clue is discovered.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community do?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heritage</w:t>
      </w:r>
    </w:p>
    <w:p>
      <w:pPr>
        <w:pStyle w:val="Normal"/>
      </w:pPr>
      <w:r>
        <w:t xml:space="preserve">ancestry</w:t>
      </w:r>
    </w:p>
    <w:p>
      <w:pPr>
        <w:pStyle w:val="Normal"/>
      </w:pPr>
      <w:r>
        <w:t xml:space="preserve">experiences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2f49f214a32591ef | Source hash dac3370046ed077140fab2d6</w:t>
      </w:r>
    </w:p>
    <w:sectPr/>
  </w:body>
</w:document>
</file>