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D&amp;D to Daggerheart</w:t>
      </w:r>
    </w:p>
    <w:p>
      <w:pPr>
        <w:pStyle w:val="Normal"/>
      </w:pPr>
      <w:r>
        <w:t xml:space="preserve">What it is</w:t>
      </w:r>
    </w:p>
    <w:p>
      <w:pPr>
        <w:pStyle w:val="Normal"/>
      </w:pPr>
      <w:r>
        <w:t xml:space="preserve">Quick translation aid for D&amp;D-trained instincts.</w:t>
      </w:r>
    </w:p>
    <w:p>
      <w:pPr>
        <w:pStyle w:val="Normal"/>
      </w:pPr>
      <w:r>
        <w:t xml:space="preserve">How it works</w:t>
      </w:r>
    </w:p>
    <w:p>
      <w:pPr>
        <w:pStyle w:val="Normal"/>
      </w:pPr>
      <w:r>
        <w:t xml:space="preserve">Use when a player asks for a D&amp;D skill, save, AC, or initiative.</w:t>
      </w:r>
    </w:p>
    <w:p>
      <w:pPr>
        <w:pStyle w:val="Normal"/>
      </w:pPr>
      <w:r>
        <w:t xml:space="preserve">Step by step</w:t>
      </w:r>
    </w:p>
    <w:p>
      <w:pPr>
        <w:pStyle w:val="Normal"/>
      </w:pPr>
      <w:r>
        <w:t xml:space="preserve">Use when a player asks for a D&amp;D skill, save, AC, or initiative.</w:t>
      </w:r>
    </w:p>
    <w:p>
      <w:pPr>
        <w:pStyle w:val="Normal"/>
      </w:pPr>
      <w:r>
        <w:t xml:space="preserve">Traits, Hope/Fear, spotlight, Evasion, thresholds, and narrative consequences.</w:t>
      </w:r>
    </w:p>
    <w:p>
      <w:pPr>
        <w:pStyle w:val="Normal"/>
      </w:pPr>
      <w:r>
        <w:t xml:space="preserve">Return to the fiction with the concrete result, cost, or benefit.</w:t>
      </w:r>
    </w:p>
    <w:p>
      <w:pPr>
        <w:pStyle w:val="Normal"/>
      </w:pPr>
      <w:r>
        <w:t xml:space="preserve">Try it</w:t>
      </w:r>
    </w:p>
    <w:p>
      <w:pPr>
        <w:pStyle w:val="Normal"/>
      </w:pPr>
      <w:r>
        <w:t xml:space="preserve">What is different from D&amp;D?</w:t>
      </w:r>
    </w:p>
    <w:p>
      <w:pPr>
        <w:pStyle w:val="Normal"/>
      </w:pPr>
      <w:r>
        <w:t xml:space="preserve">Related rules</w:t>
      </w:r>
    </w:p>
    <w:p>
      <w:pPr>
        <w:pStyle w:val="Normal"/>
      </w:pPr>
      <w:r>
        <w:t xml:space="preserve">traits</w:t>
      </w:r>
    </w:p>
    <w:p>
      <w:pPr>
        <w:pStyle w:val="Normal"/>
      </w:pPr>
      <w:r>
        <w:t xml:space="preserve">reaction-rolls</w:t>
      </w:r>
    </w:p>
    <w:p>
      <w:pPr>
        <w:pStyle w:val="Normal"/>
      </w:pPr>
      <w:r>
        <w:t xml:space="preserve">evasion</w:t>
      </w:r>
    </w:p>
    <w:p>
      <w:pPr>
        <w:pStyle w:val="Normal"/>
      </w:pPr>
      <w:r>
        <w:t xml:space="preserve">adversary-spotlight</w:t>
      </w:r>
    </w:p>
    <w:p>
      <w:pPr>
        <w:pStyle w:val="Normal"/>
      </w:pPr>
      <w:r>
        <w:t xml:space="preserve">Source</w:t>
      </w:r>
    </w:p>
    <w:p>
      <w:pPr>
        <w:pStyle w:val="Normal"/>
      </w:pPr>
      <w:r>
        <w:t xml:space="preserve">Official SRD / local quickstart reference. Use private full-rulebook material only at the table.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20dd35bb048b98b1 | Source hash dac3370046ed077140fab2d6</w:t>
      </w:r>
    </w:p>
    <w:sectPr/>
  </w:body>
</w:document>
</file>