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Evasion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target number adversaries roll against to hit a PC.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resolving adversary attacks.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resolving adversary attacks.</w:t>
      </w:r>
    </w:p>
    <w:p>
      <w:pPr>
        <w:pStyle w:val="Normal"/>
      </w:pPr>
      <w:r>
        <w:t xml:space="preserve">The closest Daggerheart equivalent is Evasion.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AC?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adversary-attacks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5dd1199d312c7a7f | Source hash dac3370046ed077140fab2d6</w:t>
      </w:r>
    </w:p>
    <w:sectPr/>
  </w:body>
</w:document>
</file>