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GM Moves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GM responses that reveal pressure, cost, danger, or consequence.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Use on failures, Fear results, and when the fiction demands action.</w:t>
      </w:r>
    </w:p>
    <w:p>
      <w:pPr>
        <w:pStyle w:val="Normal"/>
      </w:pPr>
      <w:r>
        <w:t xml:space="preserve">Step by step</w:t>
      </w:r>
    </w:p>
    <w:p>
      <w:pPr>
        <w:pStyle w:val="Normal"/>
      </w:pPr>
      <w:r>
        <w:t xml:space="preserve">Use on failures, Fear results, and when the fiction demands action.</w:t>
      </w:r>
    </w:p>
    <w:p>
      <w:pPr>
        <w:pStyle w:val="Normal"/>
      </w:pPr>
      <w:r>
        <w:t xml:space="preserve">Make the next visible pressure happen.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What happens now?</w:t>
      </w:r>
    </w:p>
    <w:p>
      <w:pPr>
        <w:pStyle w:val="Normal"/>
      </w:pPr>
      <w:r>
        <w:t xml:space="preserve">Related rules</w:t>
      </w:r>
    </w:p>
    <w:p>
      <w:pPr>
        <w:pStyle w:val="Normal"/>
      </w:pPr>
      <w:r>
        <w:t xml:space="preserve">fear</w:t>
      </w:r>
    </w:p>
    <w:p>
      <w:pPr>
        <w:pStyle w:val="Normal"/>
      </w:pPr>
      <w:r>
        <w:t xml:space="preserve">adversary-spotlight</w:t>
      </w:r>
    </w:p>
    <w:p>
      <w:pPr>
        <w:pStyle w:val="Normal"/>
      </w:pPr>
      <w:r>
        <w:t xml:space="preserve">Source</w:t>
      </w:r>
    </w:p>
    <w:p>
      <w:pPr>
        <w:pStyle w:val="Normal"/>
      </w:pPr>
      <w:r>
        <w:t xml:space="preserve">Official SRD / local quickstart reference. Use private full-rulebook material only at the table.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5f92f4e7840938ee | Source hash dac3370046ed077140fab2d6</w:t>
      </w:r>
    </w:p>
    <w:sectPr/>
  </w:body>
</w:document>
</file>