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MAP-LOC-open-vale-ward-lines - Open Vale Ward Lines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path ahead begins to glow in thin lines through earth and bark, all converging toward the Open Vale.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path ahead begins to glow in thin lines through earth and bark, all converging toward the Open Vale.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Use this as the Act 4 to Act 5 forward edge, gated on commitment and ritual_prep.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is the forward edge. Once ritual_prep is set, this map points cleanly into Act 5."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ritual_prep Ritual Prep select unready ready</w:t>
      </w:r>
    </w:p>
    <w:p>
      <w:pPr>
        <w:pStyle w:val="Normal"/>
      </w:pPr>
      <w:r>
        <w:t xml:space="preserve">ward_stability Ward Stability select fragile stable</w:t>
      </w:r>
    </w:p>
    <w:p>
      <w:pPr>
        <w:pStyle w:val="Normal"/>
      </w:pPr>
      <w:r>
        <w:t xml:space="preserve">custodian_trust Custodian Trust select low neutral high</w:t>
      </w:r>
    </w:p>
    <w:p>
      <w:pPr>
        <w:pStyle w:val="Normal"/>
      </w:pPr>
      <w:r>
        <w:t xml:space="preserve">keystone_understanding Keystone Understanding select surface deep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e78d4757be359275 | Source hash dac3370046ed077140fab2d6</w:t>
      </w:r>
    </w:p>
    <w:sectPr/>
  </w:body>
</w:document>
</file>