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MAP-LOC-the-sunless-farms - The Sunless Farms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Under the canopy, farms grow without full sun: blue-green rows, dark wet soil, careful water paths, and tools hung where rain and sap cannot ruin them.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Under the canopy, farms grow without full sun: blue-green rows, dark wet soil, careful water paths, and tools hung where rain and sap cannot ruin them.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the farms as shaded food infrastructure: player-safe abundance, GM-only managed-system seed, and route pressure toward the keeper.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"The farms are player-safe as food and craft. If players look harder, the precision of the system becomes the clue."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hush_clues Hush Clues select none custodian_route ward_seed corporate_seam farm_seed market_rumor multiple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de001316abc9c21c | Source hash dac3370046ed077140fab2d6</w:t>
      </w:r>
    </w:p>
    <w:sectPr/>
  </w:body>
</w:document>
</file>