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S01-01 - Entering Sablewood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last warded marker slips behind you. Ahead, the road narrows and the old forest closes around the carriage.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Cross from the contract briefing into the forest road. The next thing ahead blocks the path.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The carriage crosses from city-controlled road into a vast ancient forest and hands off to Act One.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Ask one player what comforting lie a corporate sign tells travelers. Use their answer later as irony.</w:t>
      </w:r>
    </w:p>
    <w:p>
      <w:pPr>
        <w:pStyle w:val="Normal"/>
      </w:pPr>
      <w:r>
        <w:t xml:space="preserve">Keep player-facing information actionable. Reveal systemic truth through objects, reactions, and consequences before naming it.</w:t>
      </w:r>
    </w:p>
    <w:p>
      <w:pPr>
        <w:pStyle w:val="Normal"/>
      </w:pPr>
      <w:r>
        <w:t xml:space="preserve">Manufactured-threat lens: seed the contradiction, do not explain it. The surface goal stays simple and heroic.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The last warded marker slips behind you. The road narrows, the city noise thins, and the forest rises around the carriage like a green wall. Who has the reins, and what is the first strange detail your character notices about these trees?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a245a8f5a777e8e6 | Source hash dac3370046ed077140fab2d6</w:t>
      </w:r>
    </w:p>
    <w:sectPr/>
  </w:body>
</w:document>
</file>