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SABLEWOOD-ROUTES - Routes / Underroot / Relays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Stay on the path unless you know who made the path.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Stay on the path unless you know who made the path.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route choices to ask who gets protected, who pays, and who goes off-network.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Approved route-data is inherited, expensive, and treated as coverage.</w:t>
      </w:r>
    </w:p>
    <w:p>
      <w:pPr>
        <w:pStyle w:val="Normal"/>
      </w:pPr>
      <w:r>
        <w:t xml:space="preserve">Underroot entrances are secret because maps are power.</w:t>
      </w:r>
    </w:p>
    <w:p>
      <w:pPr>
        <w:pStyle w:val="Normal"/>
      </w:pPr>
      <w:r>
        <w:t xml:space="preserve">A relay problem can be a route problem, a financing problem, and a soul-signal problem at the same time.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ca81fc01a0a937ac | Source hash dac3370046ed077140fab2d6</w:t>
      </w:r>
    </w:p>
    <w:sectPr/>
  </w:body>
</w:document>
</file>