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Keystone Asset™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Inside the sealed crate, packed in wax-paper and reassurance, sits a heavy grey stone the size of a loaf, warm to the touch, faintly humming, with a light deep inside it that is slowly going out.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EMERIS CROWN HOLDINGS: Your Asset, Handled With Care. Fully insured against loss, theft, and most acts of god. Please do not open, touch, tilt, comfort, or speak to your Asset.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Reach the Whitefire Custodian and the Open Vale ritual. Sensing what it truly is uses Instinct 15 when the fiction supports it.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0a3aedb00cda5b1d | Source hash dac3370046ed077140fab2d6</w:t>
      </w:r>
    </w:p>
    <w:sectPr/>
  </w:body>
</w:document>
</file>