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Whitefire Custodian's Ward-Charm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small hand-carved wooden ratcoon mid-scamper has been thumb-worn smooth for luck. It is warm, and the forest feels a little kinder while you hold it.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small hand-carved wooden ratcoon mid-scamper has been thumb-worn smooth for luck. It is warm, and the forest feels a little kinder while you hold it.</w:t>
      </w:r>
    </w:p>
    <w:p>
      <w:pPr>
        <w:pStyle w:val="Normal"/>
      </w:pPr>
      <w:r>
        <w:t xml:space="preserve">Maker Voice</w:t>
      </w:r>
    </w:p>
    <w:p>
      <w:pPr>
        <w:pStyle w:val="Normal"/>
      </w:pPr>
      <w:r>
        <w:t xml:space="preserve">MITHRIL &amp; MORTAR WARD NOTICE: Personal charms are not a substitute for approved ward pillars, sold separately and installed quarterly.</w:t>
      </w:r>
    </w:p>
    <w:p>
      <w:pPr>
        <w:pStyle w:val="Normal"/>
      </w:pPr>
      <w:r>
        <w:t xml:space="preserve">At The Table</w:t>
      </w:r>
    </w:p>
    <w:p>
      <w:pPr>
        <w:pStyle w:val="Normal"/>
      </w:pPr>
      <w:r>
        <w:t xml:space="preserve">Trinket. While carried in Sablewood: +1 Evasion.</w:t>
      </w:r>
    </w:p>
    <w:p>
      <w:pPr>
        <w:pStyle w:val="Normal"/>
      </w:pPr>
      <w:r>
        <w:t xml:space="preserve">Spec</w:t>
      </w:r>
    </w:p>
    <w:p>
      <w:pPr>
        <w:pStyle w:val="Normal"/>
      </w:pPr>
      <w:r>
        <w:t xml:space="preserve">Use: Use when the item is worn, consumed, presented, inspected, traded, or applied in the fiction.</w:t>
      </w:r>
    </w:p>
    <w:p>
      <w:pPr>
        <w:pStyle w:val="Normal"/>
      </w:pPr>
      <w:r>
        <w:t xml:space="preserve">Benefit: The player gains the listed effect, leverage, clue, access, protection, or fictional permission when the item is earned.</w:t>
      </w:r>
    </w:p>
    <w:p>
      <w:pPr>
        <w:pStyle w:val="Normal"/>
      </w:pPr>
      <w:r>
        <w:t xml:space="preserve">Limit: If the item is a consumable, it is spent after use. If it is evidence or access, it creates leverage instead of a...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Inspect the label, maker, or fine print.</w:t>
      </w:r>
    </w:p>
    <w:p>
      <w:pPr>
        <w:pStyle w:val="Normal"/>
      </w:pPr>
      <w:r>
        <w:t xml:space="preserve">Use it only when the fiction says you can reach 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c3f67a42e2dc65f9 | Source hash dac3370046ed077140fab2d6</w:t>
      </w:r>
    </w:p>
    <w:sectPr/>
  </w:body>
</w:document>
</file>