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Moonglow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Soft blue glow from Lucent Water that keeps shining when carried away, making time, navigation, and counterfeit wellness markets possible.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Soft blue glow from Lucent Water that keeps shining when carried away, making time, navigation, and counterfeit wellness markets possible.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specific Goldspire place with its own roads, work, food, people, and local habits.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small local wildlife reacts before people do No default combatant; add only if the scene introduces one Local civic, trade, or route interests Food, tools, route signs, local goods, or scene-specific clues...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Use local food, drink, market smells, and ordinary work to make the place feel lived-in before plot enters.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b3c2aa5040e00408 | Source hash dac3370046ed077140fab2d6</w:t>
      </w:r>
    </w:p>
    <w:sectPr/>
  </w:body>
</w:document>
</file>