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Concept, Aim, Tone, Subject Matter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quick table calibration: what this is, what we are trying to do, how it feels, and what content may appear.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quick table calibration: what this is, what we are trying to do, how it feels, and what content may appear.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Concept, Aim, Tone, Subject Matter: A quick table calibration: what this is, what we are trying to do, how it feels, and what content may appear.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kind of game is this?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before play so players know the game frame and can raise concerns.</w:t>
      </w:r>
    </w:p>
    <w:p>
      <w:pPr>
        <w:pStyle w:val="Normal"/>
      </w:pPr>
      <w:r>
        <w:t xml:space="preserve">A corporate-fantasy delivery one-shot with sincere adventure, satire, light PG-13 danger, and room to pause or soften content.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85e137c6f601c8c0 | Source hash dac3370046ed077140fab2d6</w:t>
      </w:r>
    </w:p>
    <w:sectPr/>
  </w:body>
</w:document>
</file>