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Heritage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broad character identity layer made from ancestry, community, and the player's chosen story details.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broad character identity layer made from ancestry, community, and the player's chosen story details.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Heritage: The broad character identity layer made from ancestry, community, and the player's chosen story details.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heritage a rule?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player asks what shaped their character before the job.</w:t>
      </w:r>
    </w:p>
    <w:p>
      <w:pPr>
        <w:pStyle w:val="Normal"/>
      </w:pPr>
      <w:r>
        <w:t xml:space="preserve">Use the exact sheet rules for ancestry/community features; use the rest as story permission and roleplay texture.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e64b8b0860fe5893 | Source hash dac3370046ed077140fab2d6</w:t>
      </w:r>
    </w:p>
    <w:sectPr/>
  </w:body>
</w:document>
</file>