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 Union Villages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Vibrant, painted, moss-lit Bramble Union communities camouflaged behind mudstone walls and thorn protection.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Bramble Union villages are vibrant behind protection: painted mudstone, thorn screens, moss lamps, and people tired of being scenery in someone else's route.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Behind walls of trained thorn and painted mudstone, a whole village hides in plain sight. Gardens and repair-fires and children's paths fill the space within. Salvaged ward-charms get sorted and re-strung in a scrap yard. Watchers in the lookout trees see...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lean chickens, forest mice, watch birds trained with scraps No default combatant; add only if the scene introduces one Local civic, trade, or route interests Food, tools, route signs, local goods, or...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Food is shared and stretched, root gardens, edible weeds, lean chickens, a stew that has plainly been added to for days. A guest gets a full bowl even when the bowl is thin, because pride here is fed before bellies are.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c632766e647cec6d | Source hash dac3370046ed077140fab2d6</w:t>
      </w:r>
    </w:p>
    <w:sectPr/>
  </w:body>
</w:document>
</file>