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Recall Stone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smooth grey pebble feels warm and ordinary until it refuses to stay where you put it. Set it down, look away, and it waits back in your palm.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smooth grey pebble feels warm and ordinary until it refuses to stay where you put it. Set it down, look away, and it waits back in your palm.</w:t>
      </w:r>
    </w:p>
    <w:p>
      <w:pPr>
        <w:pStyle w:val="Normal"/>
      </w:pPr>
      <w:r>
        <w:t xml:space="preserve">Maker Voice</w:t>
      </w:r>
    </w:p>
    <w:p>
      <w:pPr>
        <w:pStyle w:val="Normal"/>
      </w:pPr>
      <w:r>
        <w:t xml:space="preserve">GOLDWATER RECALL ASSURANCE: Why carry an unregistered stone when you could lease ours, with quarterly recall fees and a Recall Recall Clause?</w:t>
      </w:r>
    </w:p>
    <w:p>
      <w:pPr>
        <w:pStyle w:val="Normal"/>
      </w:pPr>
      <w:r>
        <w:t xml:space="preserve">At The Table</w:t>
      </w:r>
    </w:p>
    <w:p>
      <w:pPr>
        <w:pStyle w:val="Normal"/>
      </w:pPr>
      <w:r>
        <w:t xml:space="preserve">Set a trigger: proximity, damage in very close range, elapsed time, or spoken keyword. On trigger it teleports to the owner's hand.</w:t>
      </w:r>
    </w:p>
    <w:p>
      <w:pPr>
        <w:pStyle w:val="Normal"/>
      </w:pPr>
      <w:r>
        <w:t xml:space="preserve">Spec</w:t>
      </w:r>
    </w:p>
    <w:p>
      <w:pPr>
        <w:pStyle w:val="Normal"/>
      </w:pPr>
      <w:r>
        <w:t xml:space="preserve">Use: Use when the item is worn, consumed, presented, inspected, traded, or applied in the fiction.</w:t>
      </w:r>
    </w:p>
    <w:p>
      <w:pPr>
        <w:pStyle w:val="Normal"/>
      </w:pPr>
      <w:r>
        <w:t xml:space="preserve">Benefit: The player gains the listed effect, leverage, clue, access, protection, or fictional permission when the item is earned.</w:t>
      </w:r>
    </w:p>
    <w:p>
      <w:pPr>
        <w:pStyle w:val="Normal"/>
      </w:pPr>
      <w:r>
        <w:t xml:space="preserve">Limit: If the item is a consumable, it is spent after use. If it is evidence or access, it creates leverage instead of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4caf6922564125aa | Source hash dac3370046ed077140fab2d6</w:t>
      </w:r>
    </w:p>
    <w:sectPr/>
  </w:body>
</w:document>
</file>