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Route Network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Sunken, well-worn routes through Sablewood where licensed knowledge, family route-data, and corporate coverage determine who is allowed to be safe.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Sunken, well-worn routes through Sablewood where licensed knowledge, family route-data, and corporate coverage determine who is allowed to be safe.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specific Goldspire place with its own roads, work, food, people, and local habits.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small local wildlife reacts before people do No default combatant; add only if the scene introduces one Local civic, trade, or route interests Food, tools, route signs, local goods, or scene-specific clues...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Use local food, drink, market smells, and ordinary work to make the place feel lived-in before plot enters.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a168874d619e0a57 | Source hash dac3370046ed077140fab2d6</w:t>
      </w:r>
    </w:p>
    <w:sectPr/>
  </w:body>
</w:document>
</file>