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Spidermanders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Spider-salamander hybrids coat themselves in pale ash, gripping stone with too many soft feet and leaving damp prints where the ground should be dry.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Spider-salamander hybrids coat themselves in pale ash, gripping stone with too many soft feet and leaving damp prints where the ground should be dry.; show instinct first through distance, posture, scent, and how the creature protects...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Root's Hollow, The Ash Quarry, Underroot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477902f1179c91ab | Source hash dac3370046ed077140fab2d6</w:t>
      </w:r>
    </w:p>
    <w:sectPr/>
  </w:body>
</w:document>
</file>