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Tamsin's Home-Token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small thumb-polished token on a cord hangs beside the torn blue scarf, warm from wear and etched with a tiny house mark instead of a company seal.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small thumb-polished token on a cord hangs beside the torn blue scarf, warm from wear and etched with a tiny house mark instead of a company seal.</w:t>
      </w:r>
    </w:p>
    <w:p>
      <w:pPr>
        <w:pStyle w:val="Normal"/>
      </w:pPr>
      <w:r>
        <w:t xml:space="preserve">Maker Voice</w:t>
      </w:r>
    </w:p>
    <w:p>
      <w:pPr>
        <w:pStyle w:val="Normal"/>
      </w:pPr>
      <w:r>
        <w:t xml:space="preserve">ROUTE PROPERTY NOTICE: Personal tokens are not recognized as official identification. Please use approved badges when becoming a claim.</w:t>
      </w:r>
    </w:p>
    <w:p>
      <w:pPr>
        <w:pStyle w:val="Normal"/>
      </w:pPr>
      <w:r>
        <w:t xml:space="preserve">At The Table</w:t>
      </w:r>
    </w:p>
    <w:p>
      <w:pPr>
        <w:pStyle w:val="Normal"/>
      </w:pPr>
      <w:r>
        <w:t xml:space="preserve">No combat effect. Careful handling can lower social friction with Hush locals or couriers.</w:t>
      </w:r>
    </w:p>
    <w:p>
      <w:pPr>
        <w:pStyle w:val="Normal"/>
      </w:pPr>
      <w:r>
        <w:t xml:space="preserve">Spec</w:t>
      </w:r>
    </w:p>
    <w:p>
      <w:pPr>
        <w:pStyle w:val="Normal"/>
      </w:pPr>
      <w:r>
        <w:t xml:space="preserve">Use: Use when the item is worn, consumed, presented, inspected, traded, or applied in the fiction.</w:t>
      </w:r>
    </w:p>
    <w:p>
      <w:pPr>
        <w:pStyle w:val="Normal"/>
      </w:pPr>
      <w:r>
        <w:t xml:space="preserve">Benefit: The player gains the listed effect, leverage, clue, access, protection, or fictional permission when the item is earned.</w:t>
      </w:r>
    </w:p>
    <w:p>
      <w:pPr>
        <w:pStyle w:val="Normal"/>
      </w:pPr>
      <w:r>
        <w:t xml:space="preserve">Limit: If the item is a consumable, it is spent after use. If it is evidence or access, it creates leverage instead of a...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7d33495ed7394ff9 | Source hash dac3370046ed077140fab2d6</w:t>
      </w:r>
    </w:p>
    <w:sectPr/>
  </w:body>
</w:document>
</file>