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MAP-LOC-firstmoss-launch-festival - Firstmoss Launch Festival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lane opens into a village festival: green lanterns, mossfruit cakes, damp banners, children under watchful eyes, and music doing its best to be louder than the ward's uneven hum.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lane opens into a village festival: green lanterns, mossfruit cakes, damp banners, children under watchful eyes, and music doing its best to be louder than the ward's uneven hum.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lane opens into a village festival: green lanterns, mossfruit cakes, damp banners, children under watchful eyes, and music doing its best to be louder than the ward's uneven hum.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4270c77750740a61 | Source hash dac3370046ed077140fab2d6</w:t>
      </w:r>
    </w:p>
    <w:sectPr/>
  </w:body>
</w:document>
</file>