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MAP-LOC-the-sunless-farms - The Sunless Farms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Under the canopy, farms grow without full sun: blue-green rows, dark wet soil, careful water paths, and tools hung where rain and sap cannot ruin them.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Under the canopy, farms grow without full sun: blue-green rows, dark wet soil, careful water paths, and tools hung where rain and sap cannot ruin them.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Under the canopy, farms grow without full sun: blue-green rows, dark wet soil, careful water paths, and tools hung where rain and sap cannot ruin them.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fe31d3b384927d73 | Source hash dac3370046ed077140fab2d6</w:t>
      </w:r>
    </w:p>
    <w:sectPr/>
  </w:body>
</w:document>
</file>