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Independent English Learning: A Practical Starter Course for</w:t>
      </w:r>
    </w:p>
    <w:p>
      <w:pPr>
        <w:spacing w:after="0" w:before="0" w:line="480"/>
        <w:jc w:val="center"/>
      </w:pPr>
      <w:r>
        <w:rPr>
          <w:rFonts w:ascii="Times New Roman" w:cs="Times New Roman" w:eastAsia="Times New Roman" w:hAnsi="Times New Roman"/>
          <w:b/>
          <w:bCs/>
          <w:sz w:val="24"/>
          <w:szCs w:val="24"/>
        </w:rPr>
        <w:t xml:space="preserve">Spanish-Speaking Beginners</w:t>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Cómo seguir aprendiendo inglés por tu cuenta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Jonathan Michael Miljus</w:t>
      </w:r>
    </w:p>
    <w:p>
      <w:pPr>
        <w:spacing w:after="0" w:before="0" w:line="480"/>
        <w:jc w:val="center"/>
      </w:pPr>
      <w:r>
        <w:rPr>
          <w:rFonts w:ascii="Times New Roman" w:cs="Times New Roman" w:eastAsia="Times New Roman" w:hAnsi="Times New Roman"/>
          <w:sz w:val="24"/>
          <w:szCs w:val="24"/>
        </w:rPr>
        <w:t xml:space="preserve">Department of Education, University of Louisiana Monroe</w:t>
      </w:r>
    </w:p>
    <w:p>
      <w:pPr>
        <w:spacing w:after="0" w:before="0" w:line="480"/>
        <w:jc w:val="center"/>
      </w:pPr>
      <w:r>
        <w:rPr>
          <w:rFonts w:ascii="Times New Roman" w:cs="Times New Roman" w:eastAsia="Times New Roman" w:hAnsi="Times New Roman"/>
          <w:sz w:val="24"/>
          <w:szCs w:val="24"/>
        </w:rPr>
        <w:t xml:space="preserve">CURR 7003: Instructional Design and Technology</w:t>
      </w:r>
    </w:p>
    <w:p>
      <w:pPr>
        <w:spacing w:after="0" w:before="0" w:line="480"/>
        <w:jc w:val="center"/>
      </w:pPr>
      <w:r>
        <w:rPr>
          <w:rFonts w:ascii="Times New Roman" w:cs="Times New Roman" w:eastAsia="Times New Roman" w:hAnsi="Times New Roman"/>
          <w:sz w:val="24"/>
          <w:szCs w:val="24"/>
        </w:rPr>
        <w:t xml:space="preserve">Dr. Nicholas K. Khattapan</w:t>
      </w:r>
    </w:p>
    <w:p>
      <w:pPr>
        <w:spacing w:after="0" w:before="0" w:line="480"/>
        <w:jc w:val="center"/>
      </w:pPr>
      <w:r>
        <w:rPr>
          <w:rFonts w:ascii="Times New Roman" w:cs="Times New Roman" w:eastAsia="Times New Roman" w:hAnsi="Times New Roman"/>
          <w:sz w:val="24"/>
          <w:szCs w:val="24"/>
        </w:rPr>
        <w:t xml:space="preserve">April 26, 2026</w:t>
      </w:r>
    </w:p>
    <w:p>
      <w:pPr>
        <w:pageBreakBefore/>
        <w:spacing w:before="4000" w:line="480"/>
        <w:jc w:val="center"/>
      </w:pPr>
      <w:r>
        <w:rPr>
          <w:rFonts w:ascii="Times New Roman" w:cs="Times New Roman" w:eastAsia="Times New Roman" w:hAnsi="Times New Roman"/>
          <w:b/>
          <w:bCs/>
          <w:sz w:val="28"/>
          <w:szCs w:val="28"/>
        </w:rPr>
        <w:t xml:space="preserve">Part 1. Research Paper (Written Explanation of Your Class)</w:t>
      </w:r>
    </w:p>
    <w:p>
      <w:pPr>
        <w:pageBreakBefore/>
        <w:spacing w:after="0" w:before="0" w:line="480"/>
        <w:jc w:val="center"/>
      </w:pPr>
      <w:r>
        <w:rPr>
          <w:rFonts w:ascii="Times New Roman" w:cs="Times New Roman" w:eastAsia="Times New Roman" w:hAnsi="Times New Roman"/>
          <w:b/>
          <w:bCs/>
          <w:sz w:val="24"/>
          <w:szCs w:val="24"/>
        </w:rPr>
        <w:t xml:space="preserve">Independent English Learning: A Practical Starter Course for Spanish-Speaking Beginners</w:t>
      </w:r>
    </w:p>
    <w:p>
      <w:pPr>
        <w:spacing w:after="0" w:before="0" w:line="480"/>
        <w:jc w:val="left"/>
      </w:pPr>
      <w:r>
        <w:rPr>
          <w:rFonts w:ascii="Times New Roman" w:cs="Times New Roman" w:eastAsia="Times New Roman" w:hAnsi="Times New Roman"/>
          <w:b/>
          <w:bCs/>
          <w:sz w:val="24"/>
          <w:szCs w:val="24"/>
        </w:rPr>
        <w:t xml:space="preserve">Introduction</w:t>
      </w:r>
    </w:p>
    <w:p>
      <w:pPr>
        <w:spacing w:after="0" w:before="0" w:line="480"/>
        <w:ind w:firstLine="720"/>
        <w:jc w:val="left"/>
      </w:pPr>
      <w:r>
        <w:rPr>
          <w:rFonts w:ascii="Times New Roman" w:cs="Times New Roman" w:eastAsia="Times New Roman" w:hAnsi="Times New Roman"/>
          <w:sz w:val="24"/>
          <w:szCs w:val="24"/>
        </w:rPr>
        <w:t xml:space="preserve">This Signature Piece presents a three-module mini-course titled Independent English Learning: A Practical Starter Course for Spanish-Speaking Beginners. The course equips adult Spanish-speaking beginners with a science-based, self-guided system for improving their English independently. Delivered through Google Classroom and supported by a custom trilingual companion website, thirty audio drills, and ten bilingual downloadable handouts, the course intentionally combines self-regulated learning, distributed practice, retrieval practice, multimedia learning principles, comprehensible input, output, smart encoding, sleep-dependent consolidation, and Universal Design for Learning (UDL) into a cohesive, accessible, and motivating experience for adult learners with limited time and limited tolerance for technology.</w:t>
      </w:r>
    </w:p>
    <w:p>
      <w:pPr>
        <w:spacing w:after="0" w:before="0" w:line="480"/>
        <w:ind w:firstLine="720"/>
        <w:jc w:val="left"/>
      </w:pPr>
      <w:r>
        <w:rPr>
          <w:rFonts w:ascii="Times New Roman" w:cs="Times New Roman" w:eastAsia="Times New Roman" w:hAnsi="Times New Roman"/>
          <w:sz w:val="24"/>
          <w:szCs w:val="24"/>
        </w:rPr>
        <w:t xml:space="preserve">The course is organized into three core modules that mirror the natural arc of learning a new language: setting goals and building a routine, building knowledge, and applying that knowledge in real-world contexts. Each module culminates in a practical, learner-produced artifact that the student keeps and uses long after the course ends. Beyond the three required modules, the course includes a companion ecosystem,a static trilingual website (English, Spanish, French) hosted on GitHub Pages, thirty professionally generated audio drills covering pronunciation, vocabulary, sentence frames, and real-life dialogues, and a deeper bilingual document library covering smart encoding, the science of spaced repetition with Anki, a low-technology capture system for adults uncomfortable with computers, and an AI prompt library for adult ESL learners. The intent is twofold: to satisfy the design and research expectations of CURR 7003 and to leave learners with a durable, evidence-based system for autonomous English study that exceeds the scaffolding most adult ESL learners are typically offered.</w:t>
      </w:r>
    </w:p>
    <w:p>
      <w:pPr>
        <w:spacing w:after="0" w:before="0" w:line="480"/>
        <w:jc w:val="left"/>
      </w:pPr>
      <w:r>
        <w:rPr>
          <w:rFonts w:ascii="Times New Roman" w:cs="Times New Roman" w:eastAsia="Times New Roman" w:hAnsi="Times New Roman"/>
          <w:b/>
          <w:bCs/>
          <w:sz w:val="24"/>
          <w:szCs w:val="24"/>
        </w:rPr>
        <w:t xml:space="preserve">Learner Context</w:t>
      </w:r>
    </w:p>
    <w:p>
      <w:pPr>
        <w:spacing w:after="0" w:before="0" w:line="480"/>
        <w:ind w:firstLine="720"/>
        <w:jc w:val="left"/>
      </w:pPr>
      <w:r>
        <w:rPr>
          <w:rFonts w:ascii="Times New Roman" w:cs="Times New Roman" w:eastAsia="Times New Roman" w:hAnsi="Times New Roman"/>
          <w:sz w:val="24"/>
          <w:szCs w:val="24"/>
        </w:rPr>
        <w:t xml:space="preserve">The target audience is Spanish-speaking adults, primarily of Mexican or Latin American background, who need practical English for daily life, work, or travel. These learners often have limited time, limited disposable income for tutoring, and inconsistent prior exposure to formal English instruction. They benefit from materials that are bilingual where helpful, grounded in real-world contexts (greetings, work tasks, transactions, simple conversations), and structured around short, sustainable practice sessions rather than long study blocks. The course is designed to be completed in approximately 15 minutes per day across three weeks of self-paced learning.</w:t>
      </w:r>
    </w:p>
    <w:p>
      <w:pPr>
        <w:spacing w:after="0" w:before="0" w:line="480"/>
        <w:jc w:val="left"/>
      </w:pPr>
      <w:r>
        <w:rPr>
          <w:rFonts w:ascii="Times New Roman" w:cs="Times New Roman" w:eastAsia="Times New Roman" w:hAnsi="Times New Roman"/>
          <w:b/>
          <w:bCs/>
          <w:sz w:val="24"/>
          <w:szCs w:val="24"/>
        </w:rPr>
        <w:t xml:space="preserve">Instructional Design Rationale</w:t>
      </w:r>
    </w:p>
    <w:p>
      <w:pPr>
        <w:spacing w:after="0" w:before="0" w:line="480"/>
        <w:ind w:firstLine="720"/>
        <w:jc w:val="left"/>
      </w:pPr>
      <w:r>
        <w:rPr>
          <w:rFonts w:ascii="Times New Roman" w:cs="Times New Roman" w:eastAsia="Times New Roman" w:hAnsi="Times New Roman"/>
          <w:sz w:val="24"/>
          <w:szCs w:val="24"/>
        </w:rPr>
        <w:t xml:space="preserve">The course follows a clear three-module structure that mirrors the natural progression of language acquisition: goal setting and routine building (Module 1), knowledge construction (Module 2), and real-world application (Module 3). This structure operationalizes Zimmerman’s (2002) cyclical model of self-regulated learning, in which learners move iteratively through forethought, performance, and self-reflection phases. Module 1 corresponds to forethought (goal setting and strategic planning); Module 2 corresponds to performance (deliberate practice with monitoring); and Module 3 corresponds to self-reflection and adaptation (self-recording, feedback, and the 90-day plan).</w:t>
      </w:r>
    </w:p>
    <w:p>
      <w:pPr>
        <w:spacing w:after="0" w:before="0" w:line="480"/>
        <w:ind w:firstLine="720"/>
        <w:jc w:val="left"/>
      </w:pPr>
      <w:r>
        <w:rPr>
          <w:rFonts w:ascii="Times New Roman" w:cs="Times New Roman" w:eastAsia="Times New Roman" w:hAnsi="Times New Roman"/>
          <w:sz w:val="24"/>
          <w:szCs w:val="24"/>
        </w:rPr>
        <w:t xml:space="preserve">Each module deliberately produces a tangible artifact,a Goal Card and 7-Day Practice Plan, a 20-word Vocabulary Bank with 10 sentence frames, and a 30-second speaking recording paired with a 90-Day Growth Plan. These artifacts give learners immediate evidence of progress and provide instructors with concrete summative evidence of learning. The reduction from a longer ten-module concept to a focused three-module structure was driven by an instructional-design judgment that depth and student completion outweigh breadth in a self-paced beginner context.</w:t>
      </w:r>
    </w:p>
    <w:p>
      <w:pPr>
        <w:spacing w:after="0" w:before="0" w:line="480"/>
        <w:jc w:val="left"/>
      </w:pPr>
      <w:r>
        <w:rPr>
          <w:rFonts w:ascii="Times New Roman" w:cs="Times New Roman" w:eastAsia="Times New Roman" w:hAnsi="Times New Roman"/>
          <w:b/>
          <w:bCs/>
          <w:sz w:val="24"/>
          <w:szCs w:val="24"/>
        </w:rPr>
        <w:t xml:space="preserve">Research-Based Learning Strategies</w:t>
      </w:r>
    </w:p>
    <w:p>
      <w:pPr>
        <w:spacing w:after="0" w:before="0" w:line="480"/>
        <w:ind w:firstLine="720"/>
        <w:jc w:val="left"/>
      </w:pPr>
      <w:r>
        <w:rPr>
          <w:rFonts w:ascii="Times New Roman" w:cs="Times New Roman" w:eastAsia="Times New Roman" w:hAnsi="Times New Roman"/>
          <w:sz w:val="24"/>
          <w:szCs w:val="24"/>
        </w:rPr>
        <w:t xml:space="preserve">Module 1 draws directly on Zimmerman’s (2002) cyclical model of self-regulated learning to help learners set specific, attainable goals and build daily routines. Decades of research converge on the finding that learners who deliberately engage in the forethought phase,planning, goal-setting, and strategic decisions,consistently outperform peers regardless of starting ability. The Goal and Practice Plan assignment translates this research into a tangible scaffold: learners articulate why they are learning English, what English they need most, and exactly when they will study during the week. Crucially, the assignment also requires a backup plan,a pre-decided minimum routine for low-energy days,operationalizing implementation-intention research that shows pre-deciding bad-day behavior outperforms moment-to-moment willpower (Bjork &amp; Bjork, 2011; Zimmerman, 2002).</w:t>
      </w:r>
    </w:p>
    <w:p>
      <w:pPr>
        <w:spacing w:after="0" w:before="0" w:line="480"/>
        <w:ind w:firstLine="720"/>
        <w:jc w:val="left"/>
      </w:pPr>
      <w:r>
        <w:rPr>
          <w:rFonts w:ascii="Times New Roman" w:cs="Times New Roman" w:eastAsia="Times New Roman" w:hAnsi="Times New Roman"/>
          <w:sz w:val="24"/>
          <w:szCs w:val="24"/>
        </w:rPr>
        <w:t xml:space="preserve">Module 2 addresses pronunciation, cognates, vocabulary, and reusable sentence frames. Instruction pairs each new word with an image and an example sentence, applying Paivio’s (1990) dual-coding theory, the keyword mnemonic technique demonstrated by Pressley, Levin, and Delaney (1982) to outperform rote rehearsal, and Mayer’s (2009) consolidated multimedia learning principles. Spaced practice is embedded through scheduled review tasks (Cepeda et al., 2006), and retrieval practice,not re-reading,is the core activity design (Roediger &amp; Karpicke, 2006; Karpicke &amp; Blunt, 2011). Vocabulary content is anchored in Nation’s (2013) recommendation to prioritize high-frequency words taught in context, which substantially accelerates beginner-level proficiency, and in the Kim and Webb (2022) meta-analysis confirming medium-to-large effects of distributed practice in second-language vocabulary acquisition specifically. Dunlosky and colleagues’ (2013) review of effective learning techniques is also operationalized: the course explicitly steers learners away from low-utility techniques such as re-reading and highlighting, and toward high-utility techniques such as practice testing and distributed practice.</w:t>
      </w:r>
    </w:p>
    <w:p>
      <w:pPr>
        <w:spacing w:after="0" w:before="0" w:line="480"/>
        <w:ind w:firstLine="720"/>
        <w:jc w:val="left"/>
      </w:pPr>
      <w:r>
        <w:rPr>
          <w:rFonts w:ascii="Times New Roman" w:cs="Times New Roman" w:eastAsia="Times New Roman" w:hAnsi="Times New Roman"/>
          <w:sz w:val="24"/>
          <w:szCs w:val="24"/>
        </w:rPr>
        <w:t xml:space="preserve">Module 3 provides comprehensible input through short, beginner-appropriate listening and reading materials (Krashen, 1985), prioritizing American English sources (VOA Learning English, ESL Pod, NPR Up First, Rachel’s English on YouTube) given that the target audience consists primarily of Spanish-speaking adults living in the United States. Output is elicited through a 30-second self-recording task (Swain, 1985), which forces learners to convert vague comprehension into precise expression and produces the consolidation effects Swain’s output hypothesis predicts. Learners then complete a 90-day plan that closes Zimmerman’s (2002) self-regulation loop and turns the course into the beginning of an ongoing practice. The plan’s emphasis on a pre-decided motivation-loss protocol incorporates Walker and Stickgold’s (2004) findings on sleep-dependent memory consolidation by recommending an end-of-day Anki review immediately before sleep. Throughout all three modules, materials align with the Universal Design for Learning Guidelines, version 3.0 (CAST, 2024), offering multiple means of engagement, representation, and action and expression. Concretely, this means bilingual instructions in every handout, full Spanish (LATAM neutral) podcast scripts for non-readers, accessibility-friendly audio drills, and assignment formats that allow text, audio, or photo responses.</w:t>
      </w:r>
    </w:p>
    <w:p>
      <w:pPr>
        <w:spacing w:after="0" w:before="0" w:line="480"/>
        <w:jc w:val="left"/>
      </w:pPr>
      <w:r>
        <w:rPr>
          <w:rFonts w:ascii="Times New Roman" w:cs="Times New Roman" w:eastAsia="Times New Roman" w:hAnsi="Times New Roman"/>
          <w:b/>
          <w:bCs/>
          <w:sz w:val="24"/>
          <w:szCs w:val="24"/>
        </w:rPr>
        <w:t xml:space="preserve">Assessment and Technology Rationale</w:t>
      </w:r>
    </w:p>
    <w:p>
      <w:pPr>
        <w:spacing w:after="0" w:before="0" w:line="480"/>
        <w:ind w:firstLine="720"/>
        <w:jc w:val="left"/>
      </w:pPr>
      <w:r>
        <w:rPr>
          <w:rFonts w:ascii="Times New Roman" w:cs="Times New Roman" w:eastAsia="Times New Roman" w:hAnsi="Times New Roman"/>
          <w:sz w:val="24"/>
          <w:szCs w:val="24"/>
        </w:rPr>
        <w:t xml:space="preserve">Three summative assignments measure attainment of the course objectives: the English Goal and Practice Plan (Module 1, 30 points), the Vocabulary Bank and Sentence Frame Practice (Module 2, 40 points), and the 90-Day English Growth Plan with 30-second self-recording (Module 3, 30 points). Each assignment maps directly to a SMART objective in the syllabus and is graded against a clear, three-band rubric communicated to learners in advance. Each assignment is also distributed as a comprehensive bilingual packet that includes a branded cover, the full rubric, an exemplar response from a fictional adult learner with a name and life context (María, Daniel, Carmen), step-by-step instructions, and a fillable worksheet. The exemplars deliberately model adult lives,construction supervisors, dental hygienists, kitchen staff,rather than the generic university-student personas typical in textbook materials. Formative practice activities embedded in each module function as low-stakes retrieval practice and prepare learners for the corresponding summative artifact.</w:t>
      </w:r>
    </w:p>
    <w:p>
      <w:pPr>
        <w:spacing w:after="0" w:before="0" w:line="480"/>
        <w:ind w:firstLine="720"/>
        <w:jc w:val="left"/>
      </w:pPr>
      <w:r>
        <w:rPr>
          <w:rFonts w:ascii="Times New Roman" w:cs="Times New Roman" w:eastAsia="Times New Roman" w:hAnsi="Times New Roman"/>
          <w:sz w:val="24"/>
          <w:szCs w:val="24"/>
        </w:rPr>
        <w:t xml:space="preserve">Google Classroom was chosen as the primary delivery platform because it is free, mobile-friendly, and familiar to many learners. To extend its capabilities and meet UDL principles more fully, the course is augmented by a custom companion website hosted on GitHub Pages at https://jonathanmiljus.github.io/independent-english-learning/. The site is fully trilingual (English, Spanish, French) with a one-tap language toggle that switches every label, instruction, and description instantly. It hosts thirty audio drills generated through ElevenLabs and organized into six sectioned categories,podcasts, pronunciation drills (each with International Phonetic Alphabet symbol and plain-language mouth-position guidance), vocabulary by topic, sentence frames, real-life dialogues, and module intros. The site also embeds interactive widgets backed by browser localStorage: a goal commitment box that persists between visits, a daily check-in counter with streak tracking, a module progress bar, and an interactive vocabulary flashcard player covering twenty starter words. An expandable Strategies and Mindset section presents seven research-grounded learner empowerment principles,desirable difficulty, distributed practice, the dignity of imperfect speech, and the science of staying,each citing the underlying peer-reviewed source. Multimedia elements throughout follow Mayer’s (2009) coherence and contiguity principles to reduce extraneous cognitive load.</w:t>
      </w:r>
    </w:p>
    <w:p>
      <w:pPr>
        <w:spacing w:after="0" w:before="0" w:line="480"/>
        <w:ind w:firstLine="720"/>
        <w:jc w:val="left"/>
      </w:pPr>
      <w:r>
        <w:rPr>
          <w:rFonts w:ascii="Times New Roman" w:cs="Times New Roman" w:eastAsia="Times New Roman" w:hAnsi="Times New Roman"/>
          <w:sz w:val="24"/>
          <w:szCs w:val="24"/>
        </w:rPr>
        <w:t xml:space="preserve">In recognition of the wide range of technology comfort among the target population, the course explicitly supports a low-technology pathway. A bilingual Capture and Build guide teaches a paper-notebook-and-phone-Notes capture system, with the digital Anki flashcard application offered as an optional level-up rather than a requirement. The Capture and Build guide additionally documents the paper-based Leitner box system (Leitner, 1972), which implements the same spaced-repetition mathematics as Anki using only index cards and five physical containers, providing a path for learners who distrust apps or who lack reliable internet. A separate AI Phone-First Toolkit teaches non-technical adults how to use ChatGPT or equivalent free tools as a precise vocabulary-generation utility rather than as an open-ended chat partner,directly addressing the most common pattern of misuse observed among adult ESL learners experimenting with generative AI.</w:t>
      </w:r>
    </w:p>
    <w:p>
      <w:pPr>
        <w:spacing w:after="0" w:before="0" w:line="480"/>
        <w:jc w:val="left"/>
      </w:pPr>
      <w:r>
        <w:rPr>
          <w:rFonts w:ascii="Times New Roman" w:cs="Times New Roman" w:eastAsia="Times New Roman" w:hAnsi="Times New Roman"/>
          <w:b/>
          <w:bCs/>
          <w:sz w:val="24"/>
          <w:szCs w:val="24"/>
        </w:rPr>
        <w:t xml:space="preserve">Empowerment and Mindset Strategies</w:t>
      </w:r>
    </w:p>
    <w:p>
      <w:pPr>
        <w:spacing w:after="0" w:before="0" w:line="480"/>
        <w:ind w:firstLine="720"/>
        <w:jc w:val="left"/>
      </w:pPr>
      <w:r>
        <w:rPr>
          <w:rFonts w:ascii="Times New Roman" w:cs="Times New Roman" w:eastAsia="Times New Roman" w:hAnsi="Times New Roman"/>
          <w:sz w:val="24"/>
          <w:szCs w:val="24"/>
        </w:rPr>
        <w:t xml:space="preserve">Beyond the cognitive and instructional design choices, the course explicitly addresses the affective and motivational dimensions of adult language learning. Adults learning English as a second language frequently bring a history of perceived failure, accent-related self-consciousness, and discouragement from prior schooling. The course frames forgetting as a feature, not a bug, drawing on Bjork and Bjork’s (2011) research on desirable difficulties: each effortful retrieval,including failed retrievals,strengthens the long-term memory trace more than easy review. The course also frames the inevitable mid-course motivation drop (most commonly between weeks three and six) as predictable and survivable, requiring not more willpower but a pre-decided minimum routine. Learners are explicitly taught to lower the bar rather than to quit, an approach that operationalizes the implementation-intention literature on habit formation.</w:t>
      </w:r>
    </w:p>
    <w:p>
      <w:pPr>
        <w:spacing w:after="0" w:before="0" w:line="480"/>
        <w:ind w:firstLine="720"/>
        <w:jc w:val="left"/>
      </w:pPr>
      <w:r>
        <w:rPr>
          <w:rFonts w:ascii="Times New Roman" w:cs="Times New Roman" w:eastAsia="Times New Roman" w:hAnsi="Times New Roman"/>
          <w:sz w:val="24"/>
          <w:szCs w:val="24"/>
        </w:rPr>
        <w:t xml:space="preserve">The course similarly addresses the common misuse of artificial intelligence in adult language learning. Many adults attempt extended chat sessions in English with conversational AI, an approach that tends to produce comfortable but ineffective practice because the model adapts down to the user’s level. The AI Phone-First Toolkit and the AI Prompt Library reframe generative AI as a precise generation tool,producing vocabulary CSVs for Anki batch import, level-appropriate paragraph drills, IPA breakdowns, and targeted grammar quizzes,and explicitly discourage open-ended chat. The recommended workflow is captured in three sentences: generate with AI, memorize with spaced repetition, speak with your mouth.</w:t>
      </w:r>
    </w:p>
    <w:p>
      <w:pPr>
        <w:spacing w:after="0" w:before="0" w:line="480"/>
        <w:jc w:val="left"/>
      </w:pPr>
      <w:r>
        <w:rPr>
          <w:rFonts w:ascii="Times New Roman" w:cs="Times New Roman" w:eastAsia="Times New Roman" w:hAnsi="Times New Roman"/>
          <w:b/>
          <w:bCs/>
          <w:sz w:val="24"/>
          <w:szCs w:val="24"/>
        </w:rPr>
        <w:t xml:space="preserve">Conclusion</w:t>
      </w:r>
    </w:p>
    <w:p>
      <w:pPr>
        <w:spacing w:after="0" w:before="0" w:line="480"/>
        <w:ind w:firstLine="720"/>
        <w:jc w:val="left"/>
      </w:pPr>
      <w:r>
        <w:rPr>
          <w:rFonts w:ascii="Times New Roman" w:cs="Times New Roman" w:eastAsia="Times New Roman" w:hAnsi="Times New Roman"/>
          <w:sz w:val="24"/>
          <w:szCs w:val="24"/>
        </w:rPr>
        <w:t xml:space="preserve">This mini-course translates current second-language acquisition, cognitive psychology, and instructional design research into a simple, practical tool that Spanish-speaking adult beginners can use independently for years. By combining goal setting, evidence-based practice strategies, multimedia presentation, real-world application, low-technology accessibility paths, and UDL principles, the design supports both immediate skill development and longer-term learner autonomy. The course meets the CURR 7003 Signature Piece requirements while delivering a self-contained DIY English learning system,a Google Classroom of three modules, a trilingual companion website with thirty audio drills and interactive widgets, ten downloadable bilingual handouts, and a deeper library covering smart encoding, spaced repetition, capture systems, and the responsible use of AI,that students can keep using long after the course ends. The design intentionally exceeds the minimum scope of the assignment because the population it serves typically receives less, not more, scaffolding than other adult learner populations.</w:t>
      </w:r>
    </w:p>
    <w:p>
      <w:pPr>
        <w:pageBreakBefore/>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Bjork, R. A., &amp; Bjork, E. L. (2011). Making things hard on yourself, but in a good way: Creating desirable difficulties to enhance learning. In M. A. Gernsbacher, R. W. Pew, L. M. Hough, &amp; J. R. Pomerantz (Eds.), </w:t>
      </w:r>
      <w:r>
        <w:rPr>
          <w:rFonts w:ascii="Times New Roman" w:cs="Times New Roman" w:eastAsia="Times New Roman" w:hAnsi="Times New Roman"/>
          <w:i/>
          <w:iCs/>
          <w:sz w:val="24"/>
          <w:szCs w:val="24"/>
        </w:rPr>
        <w:t xml:space="preserve">Psychology and the real world: Essays illustrating fundamental contributions to society</w:t>
      </w:r>
      <w:r>
        <w:rPr>
          <w:rFonts w:ascii="Times New Roman" w:cs="Times New Roman" w:eastAsia="Times New Roman" w:hAnsi="Times New Roman"/>
          <w:sz w:val="24"/>
          <w:szCs w:val="24"/>
        </w:rPr>
        <w:t xml:space="preserve"> (pp. 56–64). Worth Publishers.</w:t>
      </w:r>
    </w:p>
    <w:p>
      <w:pPr>
        <w:spacing w:after="0" w:before="0" w:line="480"/>
        <w:ind w:left="720" w:hanging="720"/>
      </w:pPr>
      <w:r>
        <w:rPr>
          <w:rFonts w:ascii="Times New Roman" w:cs="Times New Roman" w:eastAsia="Times New Roman" w:hAnsi="Times New Roman"/>
          <w:sz w:val="24"/>
          <w:szCs w:val="24"/>
        </w:rPr>
        <w:t xml:space="preserve">CAST. (2024). </w:t>
      </w:r>
      <w:r>
        <w:rPr>
          <w:rFonts w:ascii="Times New Roman" w:cs="Times New Roman" w:eastAsia="Times New Roman" w:hAnsi="Times New Roman"/>
          <w:i/>
          <w:iCs/>
          <w:sz w:val="24"/>
          <w:szCs w:val="24"/>
        </w:rPr>
        <w:t xml:space="preserve">Universal design for learning guidelines version 3.0</w:t>
      </w:r>
      <w:r>
        <w:rPr>
          <w:rFonts w:ascii="Times New Roman" w:cs="Times New Roman" w:eastAsia="Times New Roman" w:hAnsi="Times New Roman"/>
          <w:sz w:val="24"/>
          <w:szCs w:val="24"/>
        </w:rPr>
        <w:t xml:space="preserve"> [graphic organizer]. https://udlguidelines.cast.org</w:t>
      </w:r>
    </w:p>
    <w:p>
      <w:pPr>
        <w:spacing w:after="0" w:before="0" w:line="480"/>
        <w:ind w:left="720" w:hanging="720"/>
      </w:pPr>
      <w:r>
        <w:rPr>
          <w:rFonts w:ascii="Times New Roman" w:cs="Times New Roman" w:eastAsia="Times New Roman" w:hAnsi="Times New Roman"/>
          <w:sz w:val="24"/>
          <w:szCs w:val="24"/>
        </w:rPr>
        <w:t xml:space="preserve">Cepeda, N. J., Pashler, H., Vul, E., Wixted, J. T., &amp; Rohrer, D. (2006). Distributed practice in verbal recall tasks: A review and quantitative synthesis. </w:t>
      </w:r>
      <w:r>
        <w:rPr>
          <w:rFonts w:ascii="Times New Roman" w:cs="Times New Roman" w:eastAsia="Times New Roman" w:hAnsi="Times New Roman"/>
          <w:i/>
          <w:iCs/>
          <w:sz w:val="24"/>
          <w:szCs w:val="24"/>
        </w:rPr>
        <w:t xml:space="preserve">Psychological Bulletin, 132</w:t>
      </w:r>
      <w:r>
        <w:rPr>
          <w:rFonts w:ascii="Times New Roman" w:cs="Times New Roman" w:eastAsia="Times New Roman" w:hAnsi="Times New Roman"/>
          <w:sz w:val="24"/>
          <w:szCs w:val="24"/>
        </w:rPr>
        <w:t xml:space="preserve">(3), 354–380. https://doi.org/10.1037/0033-2909.132.3.354</w:t>
      </w:r>
    </w:p>
    <w:p>
      <w:pPr>
        <w:spacing w:after="0" w:before="0" w:line="480"/>
        <w:ind w:left="720" w:hanging="720"/>
      </w:pPr>
      <w:r>
        <w:rPr>
          <w:rFonts w:ascii="Times New Roman" w:cs="Times New Roman" w:eastAsia="Times New Roman" w:hAnsi="Times New Roman"/>
          <w:sz w:val="24"/>
          <w:szCs w:val="24"/>
        </w:rPr>
        <w:t xml:space="preserve">Dunlosky, J., Rawson, K. A., Marsh, E. J., Nathan, M. J., &amp; Willingham, D. T. (2013). Improving students’ learning with effective learning techniques: Promising directions from cognitive and educational psychology. </w:t>
      </w:r>
      <w:r>
        <w:rPr>
          <w:rFonts w:ascii="Times New Roman" w:cs="Times New Roman" w:eastAsia="Times New Roman" w:hAnsi="Times New Roman"/>
          <w:i/>
          <w:iCs/>
          <w:sz w:val="24"/>
          <w:szCs w:val="24"/>
        </w:rPr>
        <w:t xml:space="preserve">Psychological Science in the Public Interest, 14</w:t>
      </w:r>
      <w:r>
        <w:rPr>
          <w:rFonts w:ascii="Times New Roman" w:cs="Times New Roman" w:eastAsia="Times New Roman" w:hAnsi="Times New Roman"/>
          <w:sz w:val="24"/>
          <w:szCs w:val="24"/>
        </w:rPr>
        <w:t xml:space="preserve">(1), 4–58. https://doi.org/10.1177/1529100612453266</w:t>
      </w:r>
    </w:p>
    <w:p>
      <w:pPr>
        <w:spacing w:after="0" w:before="0" w:line="480"/>
        <w:ind w:left="720" w:hanging="720"/>
      </w:pPr>
      <w:r>
        <w:rPr>
          <w:rFonts w:ascii="Times New Roman" w:cs="Times New Roman" w:eastAsia="Times New Roman" w:hAnsi="Times New Roman"/>
          <w:sz w:val="24"/>
          <w:szCs w:val="24"/>
        </w:rPr>
        <w:t xml:space="preserve">Karpicke, J. D., &amp; Blunt, J. R. (2011). Retrieval practice produces more learning than elaborative studying with concept mapping. </w:t>
      </w:r>
      <w:r>
        <w:rPr>
          <w:rFonts w:ascii="Times New Roman" w:cs="Times New Roman" w:eastAsia="Times New Roman" w:hAnsi="Times New Roman"/>
          <w:i/>
          <w:iCs/>
          <w:sz w:val="24"/>
          <w:szCs w:val="24"/>
        </w:rPr>
        <w:t xml:space="preserve">Science, 331</w:t>
      </w:r>
      <w:r>
        <w:rPr>
          <w:rFonts w:ascii="Times New Roman" w:cs="Times New Roman" w:eastAsia="Times New Roman" w:hAnsi="Times New Roman"/>
          <w:sz w:val="24"/>
          <w:szCs w:val="24"/>
        </w:rPr>
        <w:t xml:space="preserve">(6018), 772–775. https://doi.org/10.1126/science.1199327</w:t>
      </w:r>
    </w:p>
    <w:p>
      <w:pPr>
        <w:spacing w:after="0" w:before="0" w:line="480"/>
        <w:ind w:left="720" w:hanging="720"/>
      </w:pPr>
      <w:r>
        <w:rPr>
          <w:rFonts w:ascii="Times New Roman" w:cs="Times New Roman" w:eastAsia="Times New Roman" w:hAnsi="Times New Roman"/>
          <w:sz w:val="24"/>
          <w:szCs w:val="24"/>
        </w:rPr>
        <w:t xml:space="preserve">Kim, S. K., &amp; Webb, S. (2022). The effects of spaced practice on second language learning: A meta-analysis. </w:t>
      </w:r>
      <w:r>
        <w:rPr>
          <w:rFonts w:ascii="Times New Roman" w:cs="Times New Roman" w:eastAsia="Times New Roman" w:hAnsi="Times New Roman"/>
          <w:i/>
          <w:iCs/>
          <w:sz w:val="24"/>
          <w:szCs w:val="24"/>
        </w:rPr>
        <w:t xml:space="preserve">Language Learning, 72</w:t>
      </w:r>
      <w:r>
        <w:rPr>
          <w:rFonts w:ascii="Times New Roman" w:cs="Times New Roman" w:eastAsia="Times New Roman" w:hAnsi="Times New Roman"/>
          <w:sz w:val="24"/>
          <w:szCs w:val="24"/>
        </w:rPr>
        <w:t xml:space="preserve">(1), 269–319. https://doi.org/10.1111/lang.12479</w:t>
      </w:r>
    </w:p>
    <w:p>
      <w:pPr>
        <w:spacing w:after="0" w:before="0" w:line="480"/>
        <w:ind w:left="720" w:hanging="720"/>
      </w:pPr>
      <w:r>
        <w:rPr>
          <w:rFonts w:ascii="Times New Roman" w:cs="Times New Roman" w:eastAsia="Times New Roman" w:hAnsi="Times New Roman"/>
          <w:sz w:val="24"/>
          <w:szCs w:val="24"/>
        </w:rPr>
        <w:t xml:space="preserve">Krashen, S. D. (1985). </w:t>
      </w:r>
      <w:r>
        <w:rPr>
          <w:rFonts w:ascii="Times New Roman" w:cs="Times New Roman" w:eastAsia="Times New Roman" w:hAnsi="Times New Roman"/>
          <w:i/>
          <w:iCs/>
          <w:sz w:val="24"/>
          <w:szCs w:val="24"/>
        </w:rPr>
        <w:t xml:space="preserve">The input hypothesis: Issues and implications</w:t>
      </w:r>
      <w:r>
        <w:rPr>
          <w:rFonts w:ascii="Times New Roman" w:cs="Times New Roman" w:eastAsia="Times New Roman" w:hAnsi="Times New Roman"/>
          <w:sz w:val="24"/>
          <w:szCs w:val="24"/>
        </w:rPr>
        <w:t xml:space="preserve">. Longman.</w:t>
      </w:r>
    </w:p>
    <w:p>
      <w:pPr>
        <w:spacing w:after="0" w:before="0" w:line="480"/>
        <w:ind w:left="720" w:hanging="720"/>
      </w:pPr>
      <w:r>
        <w:rPr>
          <w:rFonts w:ascii="Times New Roman" w:cs="Times New Roman" w:eastAsia="Times New Roman" w:hAnsi="Times New Roman"/>
          <w:sz w:val="24"/>
          <w:szCs w:val="24"/>
        </w:rPr>
        <w:t xml:space="preserve">Leitner, S. (1972). </w:t>
      </w:r>
      <w:r>
        <w:rPr>
          <w:rFonts w:ascii="Times New Roman" w:cs="Times New Roman" w:eastAsia="Times New Roman" w:hAnsi="Times New Roman"/>
          <w:i/>
          <w:iCs/>
          <w:sz w:val="24"/>
          <w:szCs w:val="24"/>
        </w:rPr>
        <w:t xml:space="preserve">So lernt man lernen: Der Weg zum Erfolg</w:t>
      </w:r>
      <w:r>
        <w:rPr>
          <w:rFonts w:ascii="Times New Roman" w:cs="Times New Roman" w:eastAsia="Times New Roman" w:hAnsi="Times New Roman"/>
          <w:sz w:val="24"/>
          <w:szCs w:val="24"/>
        </w:rPr>
        <w:t xml:space="preserve"> [How to learn to learn: The path to success]. Herder.</w:t>
      </w:r>
    </w:p>
    <w:p>
      <w:pPr>
        <w:spacing w:after="0" w:before="0" w:line="480"/>
        <w:ind w:left="720" w:hanging="720"/>
      </w:pPr>
      <w:r>
        <w:rPr>
          <w:rFonts w:ascii="Times New Roman" w:cs="Times New Roman" w:eastAsia="Times New Roman" w:hAnsi="Times New Roman"/>
          <w:sz w:val="24"/>
          <w:szCs w:val="24"/>
        </w:rPr>
        <w:t xml:space="preserve">Mayer, R. E. (2009). </w:t>
      </w:r>
      <w:r>
        <w:rPr>
          <w:rFonts w:ascii="Times New Roman" w:cs="Times New Roman" w:eastAsia="Times New Roman" w:hAnsi="Times New Roman"/>
          <w:i/>
          <w:iCs/>
          <w:sz w:val="24"/>
          <w:szCs w:val="24"/>
        </w:rPr>
        <w:t xml:space="preserve">Multimedia learning</w:t>
      </w:r>
      <w:r>
        <w:rPr>
          <w:rFonts w:ascii="Times New Roman" w:cs="Times New Roman" w:eastAsia="Times New Roman" w:hAnsi="Times New Roman"/>
          <w:sz w:val="24"/>
          <w:szCs w:val="24"/>
        </w:rPr>
        <w:t xml:space="preserve"> (2nd ed.). Cambridge University Press. https://doi.org/10.1017/CBO9780511811678</w:t>
      </w:r>
    </w:p>
    <w:p>
      <w:pPr>
        <w:spacing w:after="0" w:before="0" w:line="480"/>
        <w:ind w:left="720" w:hanging="720"/>
      </w:pPr>
      <w:r>
        <w:rPr>
          <w:rFonts w:ascii="Times New Roman" w:cs="Times New Roman" w:eastAsia="Times New Roman" w:hAnsi="Times New Roman"/>
          <w:sz w:val="24"/>
          <w:szCs w:val="24"/>
        </w:rPr>
        <w:t xml:space="preserve">Nation, I. S. P. (2013). </w:t>
      </w:r>
      <w:r>
        <w:rPr>
          <w:rFonts w:ascii="Times New Roman" w:cs="Times New Roman" w:eastAsia="Times New Roman" w:hAnsi="Times New Roman"/>
          <w:i/>
          <w:iCs/>
          <w:sz w:val="24"/>
          <w:szCs w:val="24"/>
        </w:rPr>
        <w:t xml:space="preserve">Learning vocabulary in another language</w:t>
      </w:r>
      <w:r>
        <w:rPr>
          <w:rFonts w:ascii="Times New Roman" w:cs="Times New Roman" w:eastAsia="Times New Roman" w:hAnsi="Times New Roman"/>
          <w:sz w:val="24"/>
          <w:szCs w:val="24"/>
        </w:rPr>
        <w:t xml:space="preserve"> (2nd ed.). Cambridge University Press. https://doi.org/10.1017/CBO9781139858656</w:t>
      </w:r>
    </w:p>
    <w:p>
      <w:pPr>
        <w:spacing w:after="0" w:before="0" w:line="480"/>
        <w:ind w:left="720" w:hanging="720"/>
      </w:pPr>
      <w:r>
        <w:rPr>
          <w:rFonts w:ascii="Times New Roman" w:cs="Times New Roman" w:eastAsia="Times New Roman" w:hAnsi="Times New Roman"/>
          <w:sz w:val="24"/>
          <w:szCs w:val="24"/>
        </w:rPr>
        <w:t xml:space="preserve">Paivio, A. (1990). </w:t>
      </w:r>
      <w:r>
        <w:rPr>
          <w:rFonts w:ascii="Times New Roman" w:cs="Times New Roman" w:eastAsia="Times New Roman" w:hAnsi="Times New Roman"/>
          <w:i/>
          <w:iCs/>
          <w:sz w:val="24"/>
          <w:szCs w:val="24"/>
        </w:rPr>
        <w:t xml:space="preserve">Mental representations: A dual coding approach</w:t>
      </w:r>
      <w:r>
        <w:rPr>
          <w:rFonts w:ascii="Times New Roman" w:cs="Times New Roman" w:eastAsia="Times New Roman" w:hAnsi="Times New Roman"/>
          <w:sz w:val="24"/>
          <w:szCs w:val="24"/>
        </w:rPr>
        <w:t xml:space="preserve">. Oxford University Press.</w:t>
      </w:r>
    </w:p>
    <w:p>
      <w:pPr>
        <w:spacing w:after="0" w:before="0" w:line="480"/>
        <w:ind w:left="720" w:hanging="720"/>
      </w:pPr>
      <w:r>
        <w:rPr>
          <w:rFonts w:ascii="Times New Roman" w:cs="Times New Roman" w:eastAsia="Times New Roman" w:hAnsi="Times New Roman"/>
          <w:sz w:val="24"/>
          <w:szCs w:val="24"/>
        </w:rPr>
        <w:t xml:space="preserve">Pressley, M., Levin, J. R., &amp; Delaney, H. D. (1982). The mnemonic keyword method. </w:t>
      </w:r>
      <w:r>
        <w:rPr>
          <w:rFonts w:ascii="Times New Roman" w:cs="Times New Roman" w:eastAsia="Times New Roman" w:hAnsi="Times New Roman"/>
          <w:i/>
          <w:iCs/>
          <w:sz w:val="24"/>
          <w:szCs w:val="24"/>
        </w:rPr>
        <w:t xml:space="preserve">Review of Educational Research, 52</w:t>
      </w:r>
      <w:r>
        <w:rPr>
          <w:rFonts w:ascii="Times New Roman" w:cs="Times New Roman" w:eastAsia="Times New Roman" w:hAnsi="Times New Roman"/>
          <w:sz w:val="24"/>
          <w:szCs w:val="24"/>
        </w:rPr>
        <w:t xml:space="preserve">(1), 61–91. https://doi.org/10.3102/00346543052001061</w:t>
      </w:r>
    </w:p>
    <w:p>
      <w:pPr>
        <w:spacing w:after="0" w:before="0" w:line="480"/>
        <w:ind w:left="720" w:hanging="720"/>
      </w:pPr>
      <w:r>
        <w:rPr>
          <w:rFonts w:ascii="Times New Roman" w:cs="Times New Roman" w:eastAsia="Times New Roman" w:hAnsi="Times New Roman"/>
          <w:sz w:val="24"/>
          <w:szCs w:val="24"/>
        </w:rPr>
        <w:t xml:space="preserve">Roediger, H. L., III, &amp; Karpicke, J. D. (2006). Test-enhanced learning: Taking memory tests improves long-term retention. </w:t>
      </w:r>
      <w:r>
        <w:rPr>
          <w:rFonts w:ascii="Times New Roman" w:cs="Times New Roman" w:eastAsia="Times New Roman" w:hAnsi="Times New Roman"/>
          <w:i/>
          <w:iCs/>
          <w:sz w:val="24"/>
          <w:szCs w:val="24"/>
        </w:rPr>
        <w:t xml:space="preserve">Psychological Science, 17</w:t>
      </w:r>
      <w:r>
        <w:rPr>
          <w:rFonts w:ascii="Times New Roman" w:cs="Times New Roman" w:eastAsia="Times New Roman" w:hAnsi="Times New Roman"/>
          <w:sz w:val="24"/>
          <w:szCs w:val="24"/>
        </w:rPr>
        <w:t xml:space="preserve">(3), 249–255. https://doi.org/10.1111/j.1467-9280.2006.01693.x</w:t>
      </w:r>
    </w:p>
    <w:p>
      <w:pPr>
        <w:spacing w:after="0" w:before="0" w:line="480"/>
        <w:ind w:left="720" w:hanging="720"/>
      </w:pPr>
      <w:r>
        <w:rPr>
          <w:rFonts w:ascii="Times New Roman" w:cs="Times New Roman" w:eastAsia="Times New Roman" w:hAnsi="Times New Roman"/>
          <w:sz w:val="24"/>
          <w:szCs w:val="24"/>
        </w:rPr>
        <w:t xml:space="preserve">Swain, M. (1985). Communicative competence: Some roles of comprehensible input and comprehensible output in its development. In S. Gass &amp; C. Madden (Eds.), </w:t>
      </w:r>
      <w:r>
        <w:rPr>
          <w:rFonts w:ascii="Times New Roman" w:cs="Times New Roman" w:eastAsia="Times New Roman" w:hAnsi="Times New Roman"/>
          <w:i/>
          <w:iCs/>
          <w:sz w:val="24"/>
          <w:szCs w:val="24"/>
        </w:rPr>
        <w:t xml:space="preserve">Input in second language acquisition</w:t>
      </w:r>
      <w:r>
        <w:rPr>
          <w:rFonts w:ascii="Times New Roman" w:cs="Times New Roman" w:eastAsia="Times New Roman" w:hAnsi="Times New Roman"/>
          <w:sz w:val="24"/>
          <w:szCs w:val="24"/>
        </w:rPr>
        <w:t xml:space="preserve"> (pp. 235–253). Newbury House.</w:t>
      </w:r>
    </w:p>
    <w:p>
      <w:pPr>
        <w:spacing w:after="0" w:before="0" w:line="480"/>
        <w:ind w:left="720" w:hanging="720"/>
      </w:pPr>
      <w:r>
        <w:rPr>
          <w:rFonts w:ascii="Times New Roman" w:cs="Times New Roman" w:eastAsia="Times New Roman" w:hAnsi="Times New Roman"/>
          <w:sz w:val="24"/>
          <w:szCs w:val="24"/>
        </w:rPr>
        <w:t xml:space="preserve">Walker, M. P., &amp; Stickgold, R. (2004). Sleep-dependent learning and memory consolidation. </w:t>
      </w:r>
      <w:r>
        <w:rPr>
          <w:rFonts w:ascii="Times New Roman" w:cs="Times New Roman" w:eastAsia="Times New Roman" w:hAnsi="Times New Roman"/>
          <w:i/>
          <w:iCs/>
          <w:sz w:val="24"/>
          <w:szCs w:val="24"/>
        </w:rPr>
        <w:t xml:space="preserve">Neuron, 44</w:t>
      </w:r>
      <w:r>
        <w:rPr>
          <w:rFonts w:ascii="Times New Roman" w:cs="Times New Roman" w:eastAsia="Times New Roman" w:hAnsi="Times New Roman"/>
          <w:sz w:val="24"/>
          <w:szCs w:val="24"/>
        </w:rPr>
        <w:t xml:space="preserve">(1), 121–133. https://doi.org/10.1016/j.neuron.2004.08.031</w:t>
      </w:r>
    </w:p>
    <w:p>
      <w:pPr>
        <w:spacing w:after="0" w:before="0" w:line="480"/>
        <w:ind w:left="720" w:hanging="720"/>
      </w:pPr>
      <w:r>
        <w:rPr>
          <w:rFonts w:ascii="Times New Roman" w:cs="Times New Roman" w:eastAsia="Times New Roman" w:hAnsi="Times New Roman"/>
          <w:sz w:val="24"/>
          <w:szCs w:val="24"/>
        </w:rPr>
        <w:t xml:space="preserve">Zimmerman, B. J. (2002). Becoming a self-regulated learner: An overview. </w:t>
      </w:r>
      <w:r>
        <w:rPr>
          <w:rFonts w:ascii="Times New Roman" w:cs="Times New Roman" w:eastAsia="Times New Roman" w:hAnsi="Times New Roman"/>
          <w:i/>
          <w:iCs/>
          <w:sz w:val="24"/>
          <w:szCs w:val="24"/>
        </w:rPr>
        <w:t xml:space="preserve">Theory Into Practice, 41</w:t>
      </w:r>
      <w:r>
        <w:rPr>
          <w:rFonts w:ascii="Times New Roman" w:cs="Times New Roman" w:eastAsia="Times New Roman" w:hAnsi="Times New Roman"/>
          <w:sz w:val="24"/>
          <w:szCs w:val="24"/>
        </w:rPr>
        <w:t xml:space="preserve">(2), 64–70. https://doi.org/10.1207/s15430421tip4102_2</w:t>
      </w:r>
    </w:p>
    <w:p>
      <w:pPr>
        <w:pageBreakBefore/>
        <w:spacing w:before="4000" w:line="480"/>
        <w:jc w:val="center"/>
      </w:pPr>
      <w:r>
        <w:rPr>
          <w:rFonts w:ascii="Times New Roman" w:cs="Times New Roman" w:eastAsia="Times New Roman" w:hAnsi="Times New Roman"/>
          <w:b/>
          <w:bCs/>
          <w:sz w:val="28"/>
          <w:szCs w:val="28"/>
        </w:rPr>
        <w:t xml:space="preserve">Part 2. Class Syllabus</w:t>
      </w:r>
    </w:p>
    <w:p>
      <w:pPr>
        <w:pageBreakBefore/>
        <w:spacing w:line="480"/>
        <w:jc w:val="center"/>
      </w:pPr>
      <w:r>
        <w:rPr>
          <w:rFonts w:ascii="Times New Roman" w:cs="Times New Roman" w:eastAsia="Times New Roman" w:hAnsi="Times New Roman"/>
          <w:b/>
          <w:bCs/>
          <w:sz w:val="28"/>
          <w:szCs w:val="28"/>
        </w:rPr>
        <w:t xml:space="preserve">Course Syllabus</w:t>
      </w:r>
    </w:p>
    <w:p>
      <w:pPr>
        <w:spacing w:line="480"/>
        <w:jc w:val="center"/>
      </w:pPr>
      <w:r>
        <w:rPr>
          <w:rFonts w:ascii="Times New Roman" w:cs="Times New Roman" w:eastAsia="Times New Roman" w:hAnsi="Times New Roman"/>
          <w:b/>
          <w:bCs/>
          <w:sz w:val="24"/>
          <w:szCs w:val="24"/>
        </w:rPr>
        <w:t xml:space="preserve">Independent English Learning: A Practical Starter Course for Spanish-Speaking Beginners</w:t>
      </w:r>
    </w:p>
    <w:p>
      <w:pPr>
        <w:spacing w:line="480"/>
        <w:jc w:val="center"/>
      </w:pPr>
      <w:r>
        <w:rPr>
          <w:rFonts w:ascii="Times New Roman" w:cs="Times New Roman" w:eastAsia="Times New Roman" w:hAnsi="Times New Roman"/>
          <w:i/>
          <w:iCs/>
          <w:sz w:val="24"/>
          <w:szCs w:val="24"/>
        </w:rPr>
        <w:t xml:space="preserve">Cómo seguir aprendiendo inglés por tu cuenta</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b/>
          <w:bCs/>
          <w:sz w:val="24"/>
          <w:szCs w:val="24"/>
        </w:rPr>
        <w:t xml:space="preserve">Course Description</w:t>
      </w:r>
    </w:p>
    <w:p>
      <w:pPr>
        <w:spacing w:after="0" w:before="0" w:line="480"/>
        <w:jc w:val="left"/>
      </w:pPr>
      <w:r>
        <w:rPr>
          <w:rFonts w:ascii="Times New Roman" w:cs="Times New Roman" w:eastAsia="Times New Roman" w:hAnsi="Times New Roman"/>
          <w:sz w:val="24"/>
          <w:szCs w:val="24"/>
        </w:rPr>
        <w:t xml:space="preserve">A short, practical, science-backed starter course that shows Spanish-speaking adult beginners exactly how to learn English on their own in just 15 minutes per day. The course delivers a complete DIY system: how to set goals, how to learn and remember vocabulary, and how to use English in the real world.</w:t>
      </w:r>
    </w:p>
    <w:p>
      <w:pPr>
        <w:spacing w:after="0" w:before="0" w:line="480"/>
        <w:jc w:val="left"/>
      </w:pPr>
      <w:r>
        <w:rPr>
          <w:rFonts w:ascii="Times New Roman" w:cs="Times New Roman" w:eastAsia="Times New Roman" w:hAnsi="Times New Roman"/>
          <w:b/>
          <w:bCs/>
          <w:sz w:val="24"/>
          <w:szCs w:val="24"/>
        </w:rPr>
        <w:t xml:space="preserve">Target Learners</w:t>
      </w:r>
    </w:p>
    <w:p>
      <w:pPr>
        <w:spacing w:after="0" w:before="0" w:line="480"/>
        <w:jc w:val="left"/>
      </w:pPr>
      <w:r>
        <w:rPr>
          <w:rFonts w:ascii="Times New Roman" w:cs="Times New Roman" w:eastAsia="Times New Roman" w:hAnsi="Times New Roman"/>
          <w:sz w:val="24"/>
          <w:szCs w:val="24"/>
        </w:rPr>
        <w:t xml:space="preserve">Spanish-speaking adult beginners who want to study English independently and need a clear, low-cost, mobile-friendly path forward.</w:t>
      </w:r>
    </w:p>
    <w:p>
      <w:pPr>
        <w:spacing w:after="0" w:before="0" w:line="480"/>
        <w:jc w:val="left"/>
      </w:pPr>
      <w:r>
        <w:rPr>
          <w:rFonts w:ascii="Times New Roman" w:cs="Times New Roman" w:eastAsia="Times New Roman" w:hAnsi="Times New Roman"/>
          <w:b/>
          <w:bCs/>
          <w:sz w:val="24"/>
          <w:szCs w:val="24"/>
        </w:rPr>
        <w:t xml:space="preserve">Course Objectives (SMART)</w:t>
      </w:r>
    </w:p>
    <w:p>
      <w:pPr>
        <w:spacing w:after="0" w:before="0" w:line="480"/>
        <w:jc w:val="left"/>
      </w:pPr>
      <w:r>
        <w:rPr>
          <w:rFonts w:ascii="Times New Roman" w:cs="Times New Roman" w:eastAsia="Times New Roman" w:hAnsi="Times New Roman"/>
          <w:sz w:val="24"/>
          <w:szCs w:val="24"/>
        </w:rPr>
        <w:t xml:space="preserve">By the end of this course, students will be able to:</w:t>
      </w:r>
    </w:p>
    <w:p>
      <w:pPr>
        <w:pStyle w:val="ListParagraph"/>
        <w:numPr>
          <w:ilvl w:val="0"/>
          <w:numId w:val="2"/>
        </w:numPr>
        <w:spacing w:line="480"/>
      </w:pPr>
      <w:r>
        <w:rPr>
          <w:rFonts w:ascii="Times New Roman" w:cs="Times New Roman" w:eastAsia="Times New Roman" w:hAnsi="Times New Roman"/>
          <w:sz w:val="24"/>
          <w:szCs w:val="24"/>
        </w:rPr>
        <w:t xml:space="preserve">Create a personal English goal and a 7-day practice routine (Module 1).</w:t>
      </w:r>
    </w:p>
    <w:p>
      <w:pPr>
        <w:pStyle w:val="ListParagraph"/>
        <w:numPr>
          <w:ilvl w:val="0"/>
          <w:numId w:val="2"/>
        </w:numPr>
        <w:spacing w:line="480"/>
      </w:pPr>
      <w:r>
        <w:rPr>
          <w:rFonts w:ascii="Times New Roman" w:cs="Times New Roman" w:eastAsia="Times New Roman" w:hAnsi="Times New Roman"/>
          <w:sz w:val="24"/>
          <w:szCs w:val="24"/>
        </w:rPr>
        <w:t xml:space="preserve">Build and review a 20-word vocabulary bank with images and 10 reusable sentence frames (Module 2).</w:t>
      </w:r>
    </w:p>
    <w:p>
      <w:pPr>
        <w:pStyle w:val="ListParagraph"/>
        <w:numPr>
          <w:ilvl w:val="0"/>
          <w:numId w:val="2"/>
        </w:numPr>
        <w:spacing w:line="480"/>
      </w:pPr>
      <w:r>
        <w:rPr>
          <w:rFonts w:ascii="Times New Roman" w:cs="Times New Roman" w:eastAsia="Times New Roman" w:hAnsi="Times New Roman"/>
          <w:sz w:val="24"/>
          <w:szCs w:val="24"/>
        </w:rPr>
        <w:t xml:space="preserve">Produce a 30-second self-recorded speaking sample and a complete 90-Day English Growth Plan (Module 3).</w:t>
      </w:r>
    </w:p>
    <w:p>
      <w:pPr>
        <w:spacing w:after="0" w:before="0" w:line="480"/>
        <w:jc w:val="left"/>
      </w:pPr>
      <w:r>
        <w:rPr>
          <w:rFonts w:ascii="Times New Roman" w:cs="Times New Roman" w:eastAsia="Times New Roman" w:hAnsi="Times New Roman"/>
          <w:b/>
          <w:bCs/>
          <w:sz w:val="24"/>
          <w:szCs w:val="24"/>
        </w:rPr>
        <w:t xml:space="preserve">Module Schedule (Self-Paced, 3 Weeks Recommended)</w:t>
      </w:r>
    </w:p>
    <w:p>
      <w:pPr>
        <w:spacing w:after="0" w:before="0" w:line="480"/>
        <w:jc w:val="left"/>
      </w:pPr>
      <w:r>
        <w:rPr>
          <w:rFonts w:ascii="Times New Roman" w:cs="Times New Roman" w:eastAsia="Times New Roman" w:hAnsi="Times New Roman"/>
          <w:sz w:val="24"/>
          <w:szCs w:val="24"/>
        </w:rPr>
        <w:t xml:space="preserve">Module 1: Set Your Goal and Routine</w:t>
      </w:r>
    </w:p>
    <w:p>
      <w:pPr>
        <w:spacing w:after="0" w:before="0" w:line="480"/>
        <w:jc w:val="left"/>
      </w:pPr>
      <w:r>
        <w:rPr>
          <w:rFonts w:ascii="Times New Roman" w:cs="Times New Roman" w:eastAsia="Times New Roman" w:hAnsi="Times New Roman"/>
          <w:sz w:val="24"/>
          <w:szCs w:val="24"/>
        </w:rPr>
        <w:t xml:space="preserve">Module 2: Learn and Remember Useful English</w:t>
      </w:r>
    </w:p>
    <w:p>
      <w:pPr>
        <w:spacing w:after="0" w:before="0" w:line="480"/>
        <w:jc w:val="left"/>
      </w:pPr>
      <w:r>
        <w:rPr>
          <w:rFonts w:ascii="Times New Roman" w:cs="Times New Roman" w:eastAsia="Times New Roman" w:hAnsi="Times New Roman"/>
          <w:sz w:val="24"/>
          <w:szCs w:val="24"/>
        </w:rPr>
        <w:t xml:space="preserve">Module 3: Use English and Keep Going</w:t>
      </w:r>
    </w:p>
    <w:p>
      <w:pPr>
        <w:spacing w:after="0" w:before="0" w:line="480"/>
        <w:jc w:val="left"/>
      </w:pPr>
      <w:r>
        <w:rPr>
          <w:rFonts w:ascii="Times New Roman" w:cs="Times New Roman" w:eastAsia="Times New Roman" w:hAnsi="Times New Roman"/>
          <w:b/>
          <w:bCs/>
          <w:sz w:val="24"/>
          <w:szCs w:val="24"/>
        </w:rPr>
        <w:t xml:space="preserve">Assignments</w:t>
      </w:r>
    </w:p>
    <w:p>
      <w:pPr>
        <w:pStyle w:val="ListParagraph"/>
        <w:numPr>
          <w:ilvl w:val="0"/>
          <w:numId w:val="3"/>
        </w:numPr>
        <w:spacing w:line="480"/>
      </w:pPr>
      <w:r>
        <w:rPr>
          <w:rFonts w:ascii="Times New Roman" w:cs="Times New Roman" w:eastAsia="Times New Roman" w:hAnsi="Times New Roman"/>
          <w:sz w:val="24"/>
          <w:szCs w:val="24"/>
        </w:rPr>
        <w:t xml:space="preserve">Assignment 1, English Goal and Practice Plan (30 points)</w:t>
      </w:r>
    </w:p>
    <w:p>
      <w:pPr>
        <w:pStyle w:val="ListParagraph"/>
        <w:numPr>
          <w:ilvl w:val="0"/>
          <w:numId w:val="3"/>
        </w:numPr>
        <w:spacing w:line="480"/>
      </w:pPr>
      <w:r>
        <w:rPr>
          <w:rFonts w:ascii="Times New Roman" w:cs="Times New Roman" w:eastAsia="Times New Roman" w:hAnsi="Times New Roman"/>
          <w:sz w:val="24"/>
          <w:szCs w:val="24"/>
        </w:rPr>
        <w:t xml:space="preserve">Assignment 2, Vocabulary and Sentence Practice (40 points)</w:t>
      </w:r>
    </w:p>
    <w:p>
      <w:pPr>
        <w:pStyle w:val="ListParagraph"/>
        <w:numPr>
          <w:ilvl w:val="0"/>
          <w:numId w:val="3"/>
        </w:numPr>
        <w:spacing w:line="480"/>
      </w:pPr>
      <w:r>
        <w:rPr>
          <w:rFonts w:ascii="Times New Roman" w:cs="Times New Roman" w:eastAsia="Times New Roman" w:hAnsi="Times New Roman"/>
          <w:sz w:val="24"/>
          <w:szCs w:val="24"/>
        </w:rPr>
        <w:t xml:space="preserve">Assignment 3, 90-Day English Growth Plan (30 points)</w:t>
      </w:r>
    </w:p>
    <w:p>
      <w:pPr>
        <w:spacing w:after="0" w:before="0" w:line="480"/>
        <w:jc w:val="left"/>
      </w:pPr>
      <w:r>
        <w:rPr>
          <w:rFonts w:ascii="Times New Roman" w:cs="Times New Roman" w:eastAsia="Times New Roman" w:hAnsi="Times New Roman"/>
          <w:b/>
          <w:bCs/>
          <w:sz w:val="24"/>
          <w:szCs w:val="24"/>
        </w:rPr>
        <w:t xml:space="preserve">Grading</w:t>
      </w:r>
    </w:p>
    <w:p>
      <w:pPr>
        <w:spacing w:after="0" w:before="0" w:line="480"/>
        <w:jc w:val="left"/>
      </w:pPr>
      <w:r>
        <w:rPr>
          <w:rFonts w:ascii="Times New Roman" w:cs="Times New Roman" w:eastAsia="Times New Roman" w:hAnsi="Times New Roman"/>
          <w:sz w:val="24"/>
          <w:szCs w:val="24"/>
        </w:rPr>
        <w:t xml:space="preserve">Total: 100 points. Pass = 70 or higher. Each assignment is graded against a rubric posted in Google Classroom.</w:t>
      </w:r>
    </w:p>
    <w:p>
      <w:pPr>
        <w:spacing w:after="0" w:before="0" w:line="480"/>
        <w:jc w:val="left"/>
      </w:pPr>
      <w:r>
        <w:rPr>
          <w:rFonts w:ascii="Times New Roman" w:cs="Times New Roman" w:eastAsia="Times New Roman" w:hAnsi="Times New Roman"/>
          <w:b/>
          <w:bCs/>
          <w:sz w:val="24"/>
          <w:szCs w:val="24"/>
        </w:rPr>
        <w:t xml:space="preserve">Technology Needed</w:t>
      </w:r>
    </w:p>
    <w:p>
      <w:pPr>
        <w:spacing w:after="0" w:before="0" w:line="480"/>
        <w:jc w:val="left"/>
      </w:pPr>
      <w:r>
        <w:rPr>
          <w:rFonts w:ascii="Times New Roman" w:cs="Times New Roman" w:eastAsia="Times New Roman" w:hAnsi="Times New Roman"/>
          <w:sz w:val="24"/>
          <w:szCs w:val="24"/>
        </w:rPr>
        <w:t xml:space="preserve">A free Google account, internet access, and a phone or computer with a microphone for the speaking assignment.</w:t>
      </w:r>
    </w:p>
    <w:p>
      <w:pPr>
        <w:spacing w:after="0" w:before="0" w:line="480"/>
        <w:jc w:val="left"/>
      </w:pPr>
      <w:r>
        <w:rPr>
          <w:rFonts w:ascii="Times New Roman" w:cs="Times New Roman" w:eastAsia="Times New Roman" w:hAnsi="Times New Roman"/>
          <w:b/>
          <w:bCs/>
          <w:sz w:val="24"/>
          <w:szCs w:val="24"/>
        </w:rPr>
        <w:t xml:space="preserve">Accessibility and Spanish Supports</w:t>
      </w:r>
    </w:p>
    <w:p>
      <w:pPr>
        <w:spacing w:after="0" w:before="0" w:line="480"/>
        <w:jc w:val="left"/>
      </w:pPr>
      <w:r>
        <w:rPr>
          <w:rFonts w:ascii="Times New Roman" w:cs="Times New Roman" w:eastAsia="Times New Roman" w:hAnsi="Times New Roman"/>
          <w:sz w:val="24"/>
          <w:szCs w:val="24"/>
        </w:rPr>
        <w:t xml:space="preserve">All instructions are provided in clear English with simple Spanish equivalents where helpful. Videos use closed captions. Assignments accept multiple response formats (text, audio, or image) in alignment with the Universal Design for Learning Guidelines (CAST, 2024).</w:t>
      </w:r>
    </w:p>
    <w:p>
      <w:pPr>
        <w:spacing w:after="0" w:before="0" w:line="480"/>
        <w:jc w:val="left"/>
      </w:pPr>
      <w:r>
        <w:rPr>
          <w:rFonts w:ascii="Times New Roman" w:cs="Times New Roman" w:eastAsia="Times New Roman" w:hAnsi="Times New Roman"/>
          <w:b/>
          <w:bCs/>
          <w:sz w:val="24"/>
          <w:szCs w:val="24"/>
        </w:rPr>
        <w:t xml:space="preserve">Communication and Support</w:t>
      </w:r>
    </w:p>
    <w:p>
      <w:pPr>
        <w:spacing w:after="0" w:before="0" w:line="480"/>
        <w:jc w:val="left"/>
      </w:pPr>
      <w:r>
        <w:rPr>
          <w:rFonts w:ascii="Times New Roman" w:cs="Times New Roman" w:eastAsia="Times New Roman" w:hAnsi="Times New Roman"/>
          <w:sz w:val="24"/>
          <w:szCs w:val="24"/>
        </w:rPr>
        <w:t xml:space="preserve">Students may post questions in the Google Classroom stream or comment directly on assignments. The instructor will respond within two business days.</w:t>
      </w:r>
    </w:p>
    <w:p>
      <w:pPr>
        <w:spacing w:after="0" w:before="0" w:line="480"/>
        <w:jc w:val="left"/>
      </w:pPr>
      <w:r>
        <w:rPr>
          <w:rFonts w:ascii="Times New Roman" w:cs="Times New Roman" w:eastAsia="Times New Roman" w:hAnsi="Times New Roman"/>
          <w:b/>
          <w:bCs/>
          <w:sz w:val="24"/>
          <w:szCs w:val="24"/>
        </w:rPr>
        <w:t xml:space="preserve">Academic Integrity</w:t>
      </w:r>
    </w:p>
    <w:p>
      <w:pPr>
        <w:spacing w:after="0" w:before="0" w:line="480"/>
        <w:jc w:val="left"/>
      </w:pPr>
      <w:r>
        <w:rPr>
          <w:rFonts w:ascii="Times New Roman" w:cs="Times New Roman" w:eastAsia="Times New Roman" w:hAnsi="Times New Roman"/>
          <w:sz w:val="24"/>
          <w:szCs w:val="24"/>
        </w:rPr>
        <w:t xml:space="preserve">All work submitted must be the student’s own. AI tools may be used for vocabulary lookup or pronunciation reference but not to generate completed assignments.</w:t>
      </w:r>
    </w:p>
    <w:p>
      <w:pPr>
        <w:pageBreakBefore/>
        <w:spacing w:before="4000" w:line="480"/>
        <w:jc w:val="center"/>
      </w:pPr>
      <w:r>
        <w:rPr>
          <w:rFonts w:ascii="Times New Roman" w:cs="Times New Roman" w:eastAsia="Times New Roman" w:hAnsi="Times New Roman"/>
          <w:b/>
          <w:bCs/>
          <w:sz w:val="28"/>
          <w:szCs w:val="28"/>
        </w:rPr>
        <w:t xml:space="preserve">Part 3. Video Explanation Link</w:t>
      </w:r>
    </w:p>
    <w:p>
      <w:pPr>
        <w:pageBreakBefore/>
        <w:spacing w:line="480"/>
        <w:jc w:val="left"/>
      </w:pPr>
      <w:r>
        <w:rPr>
          <w:rFonts w:ascii="Times New Roman" w:cs="Times New Roman" w:eastAsia="Times New Roman" w:hAnsi="Times New Roman"/>
          <w:b/>
          <w:bCs/>
          <w:sz w:val="24"/>
          <w:szCs w:val="24"/>
        </w:rPr>
        <w:t xml:space="preserve">Video Explanation</w:t>
      </w:r>
    </w:p>
    <w:p>
      <w:pPr>
        <w:spacing w:after="0" w:before="0" w:line="480"/>
        <w:jc w:val="left"/>
      </w:pPr>
      <w:r>
        <w:rPr>
          <w:rFonts w:ascii="Times New Roman" w:cs="Times New Roman" w:eastAsia="Times New Roman" w:hAnsi="Times New Roman"/>
          <w:sz w:val="24"/>
          <w:szCs w:val="24"/>
        </w:rPr>
        <w:t xml:space="preserve">Link: [PASTE YOUR LOOM OR SCREENPAL LINK HERE BEFORE SUBMITTING]</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This video walks through the structure and content of the course in Google Classroom, including learning objectives, activities, multimedia resources, and assessments for each of the three modules.</w:t>
      </w:r>
    </w:p>
    <w:p>
      <w:pPr>
        <w:pageBreakBefore/>
        <w:spacing w:before="4000" w:line="480"/>
        <w:jc w:val="center"/>
      </w:pPr>
      <w:r>
        <w:rPr>
          <w:rFonts w:ascii="Times New Roman" w:cs="Times New Roman" w:eastAsia="Times New Roman" w:hAnsi="Times New Roman"/>
          <w:b/>
          <w:bCs/>
          <w:sz w:val="28"/>
          <w:szCs w:val="28"/>
        </w:rPr>
        <w:t xml:space="preserve">Part 4. Link to Access the Class on Google Classroom</w:t>
      </w:r>
    </w:p>
    <w:p>
      <w:pPr>
        <w:pageBreakBefore/>
        <w:spacing w:line="480"/>
        <w:jc w:val="left"/>
      </w:pPr>
      <w:r>
        <w:rPr>
          <w:rFonts w:ascii="Times New Roman" w:cs="Times New Roman" w:eastAsia="Times New Roman" w:hAnsi="Times New Roman"/>
          <w:b/>
          <w:bCs/>
          <w:sz w:val="24"/>
          <w:szCs w:val="24"/>
        </w:rPr>
        <w:t xml:space="preserve">Google Classroom Access</w:t>
      </w:r>
    </w:p>
    <w:p>
      <w:pPr>
        <w:spacing w:after="0" w:before="0" w:line="480"/>
        <w:jc w:val="left"/>
      </w:pPr>
      <w:r>
        <w:rPr>
          <w:rFonts w:ascii="Times New Roman" w:cs="Times New Roman" w:eastAsia="Times New Roman" w:hAnsi="Times New Roman"/>
          <w:sz w:val="24"/>
          <w:szCs w:val="24"/>
        </w:rPr>
        <w:t xml:space="preserve">Link: [PASTE YOUR GOOGLE CLASSROOM SHAREABLE LINK HERE BEFORE SUBMITTING]</w:t>
      </w:r>
    </w:p>
    <w:p>
      <w:pPr>
        <w:spacing w:after="0" w:before="0" w:line="480"/>
        <w:jc w:val="left"/>
      </w:pPr>
      <w:r>
        <w:rPr>
          <w:rFonts w:ascii="Times New Roman" w:cs="Times New Roman" w:eastAsia="Times New Roman" w:hAnsi="Times New Roman"/>
          <w:sz w:val="24"/>
          <w:szCs w:val="24"/>
        </w:rPr>
        <w:t xml:space="preserve">Class Code (if needed): [PASTE YOUR CLASS CODE HERE]</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Instructions for Access:</w:t>
      </w:r>
    </w:p>
    <w:p>
      <w:pPr>
        <w:pStyle w:val="ListParagraph"/>
        <w:numPr>
          <w:ilvl w:val="0"/>
          <w:numId w:val="3"/>
        </w:numPr>
        <w:spacing w:line="480"/>
      </w:pPr>
      <w:r>
        <w:rPr>
          <w:rFonts w:ascii="Times New Roman" w:cs="Times New Roman" w:eastAsia="Times New Roman" w:hAnsi="Times New Roman"/>
          <w:sz w:val="24"/>
          <w:szCs w:val="24"/>
        </w:rPr>
        <w:t xml:space="preserve">Click the Google Classroom link above.</w:t>
      </w:r>
    </w:p>
    <w:p>
      <w:pPr>
        <w:pStyle w:val="ListParagraph"/>
        <w:numPr>
          <w:ilvl w:val="0"/>
          <w:numId w:val="3"/>
        </w:numPr>
        <w:spacing w:line="480"/>
      </w:pPr>
      <w:r>
        <w:rPr>
          <w:rFonts w:ascii="Times New Roman" w:cs="Times New Roman" w:eastAsia="Times New Roman" w:hAnsi="Times New Roman"/>
          <w:sz w:val="24"/>
          <w:szCs w:val="24"/>
        </w:rPr>
        <w:t xml:space="preserve">If prompted, sign in with any Google account.</w:t>
      </w:r>
    </w:p>
    <w:p>
      <w:pPr>
        <w:pStyle w:val="ListParagraph"/>
        <w:numPr>
          <w:ilvl w:val="0"/>
          <w:numId w:val="3"/>
        </w:numPr>
        <w:spacing w:line="480"/>
      </w:pPr>
      <w:r>
        <w:rPr>
          <w:rFonts w:ascii="Times New Roman" w:cs="Times New Roman" w:eastAsia="Times New Roman" w:hAnsi="Times New Roman"/>
          <w:sz w:val="24"/>
          <w:szCs w:val="24"/>
        </w:rPr>
        <w:t xml:space="preserve">Click “Join class.” If a code is required, paste the class code shown above.</w:t>
      </w:r>
    </w:p>
    <w:p>
      <w:pPr>
        <w:pStyle w:val="ListParagraph"/>
        <w:numPr>
          <w:ilvl w:val="0"/>
          <w:numId w:val="3"/>
        </w:numPr>
        <w:spacing w:line="480"/>
      </w:pPr>
      <w:r>
        <w:rPr>
          <w:rFonts w:ascii="Times New Roman" w:cs="Times New Roman" w:eastAsia="Times New Roman" w:hAnsi="Times New Roman"/>
          <w:sz w:val="24"/>
          <w:szCs w:val="24"/>
        </w:rPr>
        <w:t xml:space="preserve">All three modules, assignments, and the syllabus will appear on the Classwork tab.</w:t>
      </w:r>
    </w:p>
    <w:p>
      <w:pPr>
        <w:spacing w:line="480"/>
      </w:pPr>
      <w:r>
        <w:rPr>
          <w:rFonts w:ascii="Times New Roman" w:cs="Times New Roman" w:eastAsia="Times New Roman" w:hAnsi="Times New Roman"/>
          <w:sz w:val="24"/>
          <w:szCs w:val="24"/>
        </w:rPr>
        <w:t xml:space="preserve"/>
      </w:r>
    </w:p>
    <w:p>
      <w:pPr>
        <w:spacing w:after="0" w:before="0" w:line="480"/>
        <w:jc w:val="left"/>
      </w:pPr>
      <w:r>
        <w:rPr>
          <w:rFonts w:ascii="Times New Roman" w:cs="Times New Roman" w:eastAsia="Times New Roman" w:hAnsi="Times New Roman"/>
          <w:sz w:val="24"/>
          <w:szCs w:val="24"/>
        </w:rPr>
        <w:t xml:space="preserve">If you have any difficulty accessing the class, please email me at j.m.miljus@gmail.com and I will respond promptly.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 7003 Signature Piece - Independent English Learning</dc:title>
  <dc:creator>Jonathan Michael Miljus</dc:creator>
  <cp:lastModifiedBy>Un-named</cp:lastModifiedBy>
  <cp:revision>1</cp:revision>
  <dcterms:created xsi:type="dcterms:W3CDTF">2026-04-28T01:17:25.826Z</dcterms:created>
  <dcterms:modified xsi:type="dcterms:W3CDTF">2026-04-28T01:17:25.826Z</dcterms:modified>
</cp:coreProperties>
</file>

<file path=docProps/custom.xml><?xml version="1.0" encoding="utf-8"?>
<Properties xmlns="http://schemas.openxmlformats.org/officeDocument/2006/custom-properties" xmlns:vt="http://schemas.openxmlformats.org/officeDocument/2006/docPropsVTypes"/>
</file>