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7C6036">
      <w:pPr>
        <w:rPr>
          <w:rFonts w:ascii="Times New Roman" w:hAnsi="Times New Roman" w:cs="Times New Roman"/>
          <w:sz w:val="24"/>
        </w:rPr>
      </w:pPr>
      <w:r>
        <w:rPr>
          <w:rFonts w:ascii="Times New Roman" w:hAnsi="Times New Roman" w:cs="Times New Roman"/>
          <w:sz w:val="24"/>
        </w:rPr>
        <w:t xml:space="preserve">Jonathan Quang </w:t>
      </w:r>
      <w:r>
        <w:rPr>
          <w:rFonts w:ascii="Times New Roman" w:hAnsi="Times New Roman" w:cs="Times New Roman"/>
          <w:sz w:val="24"/>
        </w:rPr>
        <w:br/>
        <w:t>Dr.Mandler 8th period</w:t>
      </w:r>
      <w:r>
        <w:rPr>
          <w:rFonts w:ascii="Times New Roman" w:hAnsi="Times New Roman" w:cs="Times New Roman"/>
          <w:sz w:val="24"/>
        </w:rPr>
        <w:br/>
        <w:t>HW#20</w:t>
      </w:r>
    </w:p>
    <w:p w:rsidR="007C6036" w:rsidRPr="007C6036" w:rsidRDefault="007C6036">
      <w:pPr>
        <w:rPr>
          <w:rFonts w:ascii="Times New Roman" w:hAnsi="Times New Roman" w:cs="Times New Roman"/>
          <w:sz w:val="24"/>
        </w:rPr>
      </w:pPr>
      <w:r>
        <w:rPr>
          <w:rFonts w:ascii="Times New Roman" w:hAnsi="Times New Roman" w:cs="Times New Roman"/>
          <w:sz w:val="24"/>
        </w:rPr>
        <w:tab/>
      </w:r>
      <w:r w:rsidR="00E547CE">
        <w:rPr>
          <w:rFonts w:ascii="Times New Roman" w:hAnsi="Times New Roman" w:cs="Times New Roman"/>
          <w:sz w:val="24"/>
        </w:rPr>
        <w:t>The gender issue in Sophocles's "Antigone" is how women are trea</w:t>
      </w:r>
      <w:r w:rsidR="00953A5C">
        <w:rPr>
          <w:rFonts w:ascii="Times New Roman" w:hAnsi="Times New Roman" w:cs="Times New Roman"/>
          <w:sz w:val="24"/>
        </w:rPr>
        <w:t xml:space="preserve">ted as if they are very passive and are to cower before the rule of men. Ismene stays "Remember we (Ismene and Antigone) are women, we're not born to contend with men. Then too, we're underlings, ruled by much stronger hands, so we must submit in this, and things still worse," (74-77). Ismene believes that women are too serve men because they are stronger. </w:t>
      </w:r>
      <w:r w:rsidR="00C44592">
        <w:rPr>
          <w:rFonts w:ascii="Times New Roman" w:hAnsi="Times New Roman" w:cs="Times New Roman"/>
          <w:sz w:val="24"/>
        </w:rPr>
        <w:t xml:space="preserve">Ismene is representative and somewhat of a supporter of this social construct. </w:t>
      </w:r>
      <w:r w:rsidR="00953A5C">
        <w:rPr>
          <w:rFonts w:ascii="Times New Roman" w:hAnsi="Times New Roman" w:cs="Times New Roman"/>
          <w:sz w:val="24"/>
        </w:rPr>
        <w:t>However, Antigone seems to be the embodiment of the opposite of this belief.</w:t>
      </w:r>
      <w:r w:rsidR="00C44592">
        <w:rPr>
          <w:rFonts w:ascii="Times New Roman" w:hAnsi="Times New Roman" w:cs="Times New Roman"/>
          <w:sz w:val="24"/>
        </w:rPr>
        <w:t xml:space="preserve"> She chooses to rebel under Creon's rule and bury her brother instead of letting Creon decree that he can't be buried. </w:t>
      </w:r>
    </w:p>
    <w:sectPr w:rsidR="007C6036" w:rsidRPr="007C603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6036"/>
    <w:rsid w:val="004C4111"/>
    <w:rsid w:val="006569F8"/>
    <w:rsid w:val="007C6036"/>
    <w:rsid w:val="008A37F1"/>
    <w:rsid w:val="00953A5C"/>
    <w:rsid w:val="00BF1B39"/>
    <w:rsid w:val="00C44592"/>
    <w:rsid w:val="00E534C6"/>
    <w:rsid w:val="00E547CE"/>
    <w:rsid w:val="00E90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2015-10-11T15:29:00Z</dcterms:created>
  <dcterms:modified xsi:type="dcterms:W3CDTF">2015-10-11T16:07:00Z</dcterms:modified>
</cp:coreProperties>
</file>