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b/>
          <w:i w:val="0"/>
        </w:rPr>
        <w:t>ACA 1 — Habilidades Gerenciales</w:t>
      </w:r>
    </w:p>
    <w:p>
      <w:pPr>
        <w:ind w:firstLine="0"/>
        <w:jc w:val="center"/>
      </w:pPr>
      <w:r>
        <w:rPr>
          <w:b w:val="0"/>
          <w:i w:val="0"/>
        </w:rPr>
        <w:t>Caso B: Mercado Barrio+ · Tarjeta de enfoque B1 — Comunicación</w:t>
      </w:r>
    </w:p>
    <w:p/>
    <w:p>
      <w:pPr>
        <w:ind w:firstLine="0"/>
        <w:jc w:val="center"/>
      </w:pPr>
      <w:r>
        <w:rPr>
          <w:b w:val="0"/>
          <w:i w:val="0"/>
        </w:rPr>
        <w:t>Especialización en Gobernanza de la Inteligencia Artificial</w:t>
      </w:r>
    </w:p>
    <w:p>
      <w:pPr>
        <w:ind w:firstLine="0"/>
        <w:jc w:val="center"/>
      </w:pPr>
      <w:r>
        <w:rPr>
          <w:b w:val="0"/>
          <w:i w:val="0"/>
        </w:rPr>
        <w:t>Cohorte 26ES5</w:t>
      </w:r>
    </w:p>
    <w:p/>
    <w:p>
      <w:pPr>
        <w:ind w:firstLine="0"/>
        <w:jc w:val="center"/>
      </w:pPr>
      <w:r>
        <w:rPr>
          <w:b w:val="0"/>
          <w:i w:val="0"/>
        </w:rPr>
        <w:t>Jhoan Jesus Cardozo Gelvis</w:t>
      </w:r>
    </w:p>
    <w:p>
      <w:pPr>
        <w:ind w:firstLine="0"/>
        <w:jc w:val="center"/>
      </w:pPr>
      <w:r>
        <w:rPr>
          <w:b w:val="0"/>
          <w:i w:val="0"/>
        </w:rPr>
        <w:t>Jonathan Adonay Rubio Jimenez</w:t>
      </w:r>
    </w:p>
    <w:p>
      <w:pPr>
        <w:ind w:firstLine="0"/>
        <w:jc w:val="center"/>
      </w:pPr>
      <w:r>
        <w:rPr>
          <w:b w:val="0"/>
          <w:i w:val="0"/>
        </w:rPr>
        <w:t>Ivan Dario Zarate Rincon</w:t>
      </w:r>
    </w:p>
    <w:p/>
    <w:p>
      <w:pPr>
        <w:ind w:firstLine="0"/>
        <w:jc w:val="center"/>
      </w:pPr>
      <w:r>
        <w:rPr>
          <w:b w:val="0"/>
          <w:i w:val="0"/>
        </w:rPr>
        <w:t>Docente: Carlos Andrés Piraquive Cifuentes</w:t>
      </w:r>
    </w:p>
    <w:p>
      <w:pPr>
        <w:ind w:firstLine="0"/>
        <w:jc w:val="center"/>
      </w:pPr>
      <w:r>
        <w:rPr>
          <w:b w:val="0"/>
          <w:i w:val="0"/>
        </w:rPr>
        <w:t>1 de noviembre de 2026</w:t>
      </w:r>
    </w:p>
    <w:p>
      <w:r>
        <w:br w:type="page"/>
      </w:r>
    </w:p>
    <w:p>
      <w:pPr>
        <w:pStyle w:val="Heading1"/>
      </w:pPr>
      <w:r>
        <w:t>1. Comprender el caso y formular el problema</w:t>
      </w:r>
    </w:p>
    <w:p>
      <w:r>
        <w:rPr>
          <w:b w:val="0"/>
          <w:i w:val="0"/>
        </w:rPr>
        <w:t>El caso asignado al equipo es el Caso B (Mercado Barrio+), con la tarjeta de enfoque B1 — Comunicación: una tienda reportó que el guion único de atención redujo las conversaciones espontáneas con los clientes, mientras otras dos lo consideran útil.</w:t>
      </w:r>
    </w:p>
    <w:p>
      <w:r>
        <w:rPr>
          <w:b w:val="0"/>
          <w:i w:val="0"/>
        </w:rPr>
        <w:t>Este análisis sigue el marco de diagnosticar–conducir–intervenir visto en el curso: primero se diagnostica separando hechos de interpretaciones (esta sección), luego se conduce la conversación con quienes están en tensión (sección 3) y finalmente se interviene con una decisión gerencial concreta (sección 5). La separación entre hecho, apreciación, emoción y conducta aplica el modelo de apreciación de Lázarus: el hecho es lo que ocurrió objetivamente, la apreciación es el filtro subjetivo con el que cada persona lo interpreta, y de ese filtro surge la emoción y la conducta — por eso la misma política (guion único) puede leerse como una imposición en una tienda y como una ayuda en otra.</w:t>
      </w:r>
    </w:p>
    <w:p>
      <w:pPr>
        <w:pStyle w:val="Heading2"/>
      </w:pPr>
      <w:r>
        <w:t>Hechos elegidos y su naturaleza</w:t>
      </w:r>
    </w:p>
    <w:tbl>
      <w:tblPr>
        <w:tblStyle w:val="LightGrid-Accent1"/>
        <w:tblW w:type="auto" w:w="0"/>
        <w:jc w:val="center"/>
        <w:tblLayout w:type="fixed"/>
        <w:tblLook w:firstColumn="1" w:firstRow="1" w:lastColumn="0" w:lastRow="0" w:noHBand="0" w:noVBand="1" w:val="04A0"/>
      </w:tblPr>
      <w:tblGrid>
        <w:gridCol w:w="3120"/>
        <w:gridCol w:w="3120"/>
        <w:gridCol w:w="3120"/>
      </w:tblGrid>
      <w:tr>
        <w:tc>
          <w:tcPr>
            <w:tcW w:type="dxa" w:w="1417"/>
          </w:tcPr>
          <w:p>
            <w:pPr>
              <w:spacing w:line="240" w:lineRule="auto" w:after="40" w:before="40"/>
              <w:ind w:firstLine="0" w:left="0"/>
            </w:pPr>
            <w:r/>
            <w:r>
              <w:rPr>
                <w:rFonts w:ascii="Times New Roman" w:hAnsi="Times New Roman"/>
                <w:b/>
                <w:sz w:val="20"/>
              </w:rPr>
              <w:t>ID</w:t>
            </w:r>
          </w:p>
        </w:tc>
        <w:tc>
          <w:tcPr>
            <w:tcW w:type="dxa" w:w="5669"/>
          </w:tcPr>
          <w:p>
            <w:pPr>
              <w:spacing w:line="240" w:lineRule="auto" w:after="40" w:before="40"/>
              <w:ind w:firstLine="0" w:left="0"/>
            </w:pPr>
            <w:r/>
            <w:r>
              <w:rPr>
                <w:rFonts w:ascii="Times New Roman" w:hAnsi="Times New Roman"/>
                <w:b/>
                <w:sz w:val="20"/>
              </w:rPr>
              <w:t>Hecho</w:t>
            </w:r>
          </w:p>
        </w:tc>
        <w:tc>
          <w:tcPr>
            <w:tcW w:type="dxa" w:w="1984"/>
          </w:tcPr>
          <w:p>
            <w:pPr>
              <w:spacing w:line="240" w:lineRule="auto" w:after="40" w:before="40"/>
              <w:ind w:firstLine="0" w:left="0"/>
            </w:pPr>
            <w:r/>
            <w:r>
              <w:rPr>
                <w:rFonts w:ascii="Times New Roman" w:hAnsi="Times New Roman"/>
                <w:b/>
                <w:sz w:val="20"/>
              </w:rPr>
              <w:t>Naturaleza</w:t>
            </w:r>
          </w:p>
        </w:tc>
      </w:tr>
      <w:tr>
        <w:tc>
          <w:tcPr>
            <w:tcW w:type="dxa" w:w="1417"/>
          </w:tcPr>
          <w:p>
            <w:pPr>
              <w:spacing w:line="240" w:lineRule="auto" w:after="40" w:before="40"/>
              <w:ind w:firstLine="0" w:left="0"/>
            </w:pPr>
            <w:r/>
            <w:r>
              <w:rPr>
                <w:rFonts w:ascii="Times New Roman" w:hAnsi="Times New Roman"/>
                <w:sz w:val="20"/>
              </w:rPr>
              <w:t>B-F1</w:t>
            </w:r>
          </w:p>
        </w:tc>
        <w:tc>
          <w:tcPr>
            <w:tcW w:type="dxa" w:w="5669"/>
          </w:tcPr>
          <w:p>
            <w:pPr>
              <w:spacing w:line="240" w:lineRule="auto" w:after="40" w:before="40"/>
              <w:ind w:firstLine="0" w:left="0"/>
            </w:pPr>
            <w:r/>
            <w:r>
              <w:rPr>
                <w:rFonts w:ascii="Times New Roman" w:hAnsi="Times New Roman"/>
                <w:sz w:val="20"/>
              </w:rPr>
              <w:t>Clara (gerente comercial) pide que todas las tiendas sigan el mismo guion de atención desde el lunes.</w:t>
            </w:r>
          </w:p>
        </w:tc>
        <w:tc>
          <w:tcPr>
            <w:tcW w:type="dxa" w:w="1984"/>
          </w:tcPr>
          <w:p>
            <w:pPr>
              <w:spacing w:line="240" w:lineRule="auto" w:after="40" w:before="40"/>
              <w:ind w:firstLine="0" w:left="0"/>
            </w:pPr>
            <w:r/>
            <w:r>
              <w:rPr>
                <w:rFonts w:ascii="Times New Roman" w:hAnsi="Times New Roman"/>
                <w:sz w:val="20"/>
              </w:rPr>
              <w:t>Documentado</w:t>
            </w:r>
          </w:p>
        </w:tc>
      </w:tr>
      <w:tr>
        <w:tc>
          <w:tcPr>
            <w:tcW w:type="dxa" w:w="1417"/>
          </w:tcPr>
          <w:p>
            <w:pPr>
              <w:spacing w:line="240" w:lineRule="auto" w:after="40" w:before="40"/>
              <w:ind w:firstLine="0" w:left="0"/>
            </w:pPr>
            <w:r/>
            <w:r>
              <w:rPr>
                <w:rFonts w:ascii="Times New Roman" w:hAnsi="Times New Roman"/>
                <w:sz w:val="20"/>
              </w:rPr>
              <w:t>B-F2</w:t>
            </w:r>
          </w:p>
        </w:tc>
        <w:tc>
          <w:tcPr>
            <w:tcW w:type="dxa" w:w="5669"/>
          </w:tcPr>
          <w:p>
            <w:pPr>
              <w:spacing w:line="240" w:lineRule="auto" w:after="40" w:before="40"/>
              <w:ind w:firstLine="0" w:left="0"/>
            </w:pPr>
            <w:r/>
            <w:r>
              <w:rPr>
                <w:rFonts w:ascii="Times New Roman" w:hAnsi="Times New Roman"/>
                <w:sz w:val="20"/>
              </w:rPr>
              <w:t>Luis (encargado de tienda) responde que su barrio no se parece a los demás y que la gente viene a conversar, no a escuchar un libreto.</w:t>
            </w:r>
          </w:p>
        </w:tc>
        <w:tc>
          <w:tcPr>
            <w:tcW w:type="dxa" w:w="1984"/>
          </w:tcPr>
          <w:p>
            <w:pPr>
              <w:spacing w:line="240" w:lineRule="auto" w:after="40" w:before="40"/>
              <w:ind w:firstLine="0" w:left="0"/>
            </w:pPr>
            <w:r/>
            <w:r>
              <w:rPr>
                <w:rFonts w:ascii="Times New Roman" w:hAnsi="Times New Roman"/>
                <w:sz w:val="20"/>
              </w:rPr>
              <w:t>Documentado</w:t>
            </w:r>
          </w:p>
        </w:tc>
      </w:tr>
      <w:tr>
        <w:tc>
          <w:tcPr>
            <w:tcW w:type="dxa" w:w="1417"/>
          </w:tcPr>
          <w:p>
            <w:pPr>
              <w:spacing w:line="240" w:lineRule="auto" w:after="40" w:before="40"/>
              <w:ind w:firstLine="0" w:left="0"/>
            </w:pPr>
            <w:r/>
            <w:r>
              <w:rPr>
                <w:rFonts w:ascii="Times New Roman" w:hAnsi="Times New Roman"/>
                <w:sz w:val="20"/>
              </w:rPr>
              <w:t>Tarjeta B1</w:t>
            </w:r>
          </w:p>
        </w:tc>
        <w:tc>
          <w:tcPr>
            <w:tcW w:type="dxa" w:w="5669"/>
          </w:tcPr>
          <w:p>
            <w:pPr>
              <w:spacing w:line="240" w:lineRule="auto" w:after="40" w:before="40"/>
              <w:ind w:firstLine="0" w:left="0"/>
            </w:pPr>
            <w:r/>
            <w:r>
              <w:rPr>
                <w:rFonts w:ascii="Times New Roman" w:hAnsi="Times New Roman"/>
                <w:sz w:val="20"/>
              </w:rPr>
              <w:t>Una tienda reportó que el guion único redujo las conversaciones espontáneas; otras dos lo consideran útil.</w:t>
            </w:r>
          </w:p>
        </w:tc>
        <w:tc>
          <w:tcPr>
            <w:tcW w:type="dxa" w:w="1984"/>
          </w:tcPr>
          <w:p>
            <w:pPr>
              <w:spacing w:line="240" w:lineRule="auto" w:after="40" w:before="40"/>
              <w:ind w:firstLine="0" w:left="0"/>
            </w:pPr>
            <w:r/>
            <w:r>
              <w:rPr>
                <w:rFonts w:ascii="Times New Roman" w:hAnsi="Times New Roman"/>
                <w:sz w:val="20"/>
              </w:rPr>
              <w:t>Documentado, con vacío de información</w:t>
            </w:r>
          </w:p>
        </w:tc>
      </w:tr>
      <w:tr>
        <w:tc>
          <w:tcPr>
            <w:tcW w:type="dxa" w:w="1417"/>
          </w:tcPr>
          <w:p>
            <w:pPr>
              <w:spacing w:line="240" w:lineRule="auto" w:after="40" w:before="40"/>
              <w:ind w:firstLine="0" w:left="0"/>
            </w:pPr>
            <w:r/>
            <w:r>
              <w:rPr>
                <w:rFonts w:ascii="Times New Roman" w:hAnsi="Times New Roman"/>
                <w:sz w:val="20"/>
              </w:rPr>
              <w:t>B-F7</w:t>
            </w:r>
          </w:p>
        </w:tc>
        <w:tc>
          <w:tcPr>
            <w:tcW w:type="dxa" w:w="5669"/>
          </w:tcPr>
          <w:p>
            <w:pPr>
              <w:spacing w:line="240" w:lineRule="auto" w:after="40" w:before="40"/>
              <w:ind w:firstLine="0" w:left="0"/>
            </w:pPr>
            <w:r/>
            <w:r>
              <w:rPr>
                <w:rFonts w:ascii="Times New Roman" w:hAnsi="Times New Roman"/>
                <w:sz w:val="20"/>
              </w:rPr>
              <w:t>No existe un criterio común para seleccionar pruebas pequeñas ni una rutina acordada para compartir aprendizajes entre tiendas.</w:t>
            </w:r>
          </w:p>
        </w:tc>
        <w:tc>
          <w:tcPr>
            <w:tcW w:type="dxa" w:w="1984"/>
          </w:tcPr>
          <w:p>
            <w:pPr>
              <w:spacing w:line="240" w:lineRule="auto" w:after="40" w:before="40"/>
              <w:ind w:firstLine="0" w:left="0"/>
            </w:pPr>
            <w:r/>
            <w:r>
              <w:rPr>
                <w:rFonts w:ascii="Times New Roman" w:hAnsi="Times New Roman"/>
                <w:sz w:val="20"/>
              </w:rPr>
              <w:t>Vacío de información</w:t>
            </w:r>
          </w:p>
        </w:tc>
      </w:tr>
      <w:tr>
        <w:tc>
          <w:tcPr>
            <w:tcW w:type="dxa" w:w="1417"/>
          </w:tcPr>
          <w:p>
            <w:pPr>
              <w:spacing w:line="240" w:lineRule="auto" w:after="40" w:before="40"/>
              <w:ind w:firstLine="0" w:left="0"/>
            </w:pPr>
            <w:r/>
            <w:r>
              <w:rPr>
                <w:rFonts w:ascii="Times New Roman" w:hAnsi="Times New Roman"/>
                <w:sz w:val="20"/>
              </w:rPr>
              <w:t>B-F6</w:t>
            </w:r>
          </w:p>
        </w:tc>
        <w:tc>
          <w:tcPr>
            <w:tcW w:type="dxa" w:w="5669"/>
          </w:tcPr>
          <w:p>
            <w:pPr>
              <w:spacing w:line="240" w:lineRule="auto" w:after="40" w:before="40"/>
              <w:ind w:firstLine="0" w:left="0"/>
            </w:pPr>
            <w:r/>
            <w:r>
              <w:rPr>
                <w:rFonts w:ascii="Times New Roman" w:hAnsi="Times New Roman"/>
                <w:sz w:val="20"/>
              </w:rPr>
              <w:t>Una colaboradora de tienda declara: “cuando sugiero algo, me piden resultados, pero no me dejan probarlo”.</w:t>
            </w:r>
          </w:p>
        </w:tc>
        <w:tc>
          <w:tcPr>
            <w:tcW w:type="dxa" w:w="1984"/>
          </w:tcPr>
          <w:p>
            <w:pPr>
              <w:spacing w:line="240" w:lineRule="auto" w:after="40" w:before="40"/>
              <w:ind w:firstLine="0" w:left="0"/>
            </w:pPr>
            <w:r/>
            <w:r>
              <w:rPr>
                <w:rFonts w:ascii="Times New Roman" w:hAnsi="Times New Roman"/>
                <w:sz w:val="20"/>
              </w:rPr>
              <w:t>Testimonio</w:t>
            </w:r>
          </w:p>
        </w:tc>
      </w:tr>
    </w:tbl>
    <w:p>
      <w:pPr>
        <w:spacing w:after="0"/>
      </w:pPr>
    </w:p>
    <w:p>
      <w:pPr>
        <w:pStyle w:val="Heading2"/>
      </w:pPr>
      <w:r>
        <w:t>Problema central</w:t>
      </w:r>
    </w:p>
    <w:p>
      <w:r>
        <w:rPr>
          <w:b w:val="0"/>
          <w:i w:val="0"/>
        </w:rPr>
        <w:t>Mercado Barrio+ generalizó un guion único de atención a las 12 tiendas sin escuchar antes que su efecto varía según el contexto de cada barrio — reduce las conversaciones espontáneas en al menos una tienda y resulta útil en otras — y no existe ningún canal para que esa diversidad de resultados se discuta antes de decidir mantenerlo, ajustarlo o diferenciarlo.</w:t>
      </w:r>
    </w:p>
    <w:p>
      <w:pPr>
        <w:pStyle w:val="Heading2"/>
      </w:pPr>
      <w:r>
        <w:t>Matriz hecho → apreciación → emoción → conducta (hipótesis, no diagnóstico clínico)</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1"/>
          </w:tcPr>
          <w:p>
            <w:pPr>
              <w:spacing w:line="240" w:lineRule="auto" w:after="40" w:before="40"/>
              <w:ind w:firstLine="0" w:left="0"/>
            </w:pPr>
            <w:r/>
            <w:r>
              <w:rPr>
                <w:rFonts w:ascii="Times New Roman" w:hAnsi="Times New Roman"/>
                <w:b/>
                <w:sz w:val="20"/>
              </w:rPr>
              <w:t>Actor</w:t>
            </w:r>
          </w:p>
        </w:tc>
        <w:tc>
          <w:tcPr>
            <w:tcW w:type="dxa" w:w="1814"/>
          </w:tcPr>
          <w:p>
            <w:pPr>
              <w:spacing w:line="240" w:lineRule="auto" w:after="40" w:before="40"/>
              <w:ind w:firstLine="0" w:left="0"/>
            </w:pPr>
            <w:r/>
            <w:r>
              <w:rPr>
                <w:rFonts w:ascii="Times New Roman" w:hAnsi="Times New Roman"/>
                <w:b/>
                <w:sz w:val="20"/>
              </w:rPr>
              <w:t>Hecho</w:t>
            </w:r>
          </w:p>
        </w:tc>
        <w:tc>
          <w:tcPr>
            <w:tcW w:type="dxa" w:w="2154"/>
          </w:tcPr>
          <w:p>
            <w:pPr>
              <w:spacing w:line="240" w:lineRule="auto" w:after="40" w:before="40"/>
              <w:ind w:firstLine="0" w:left="0"/>
            </w:pPr>
            <w:r/>
            <w:r>
              <w:rPr>
                <w:rFonts w:ascii="Times New Roman" w:hAnsi="Times New Roman"/>
                <w:b/>
                <w:sz w:val="20"/>
              </w:rPr>
              <w:t>Apreciación (hipótesis)</w:t>
            </w:r>
          </w:p>
        </w:tc>
        <w:tc>
          <w:tcPr>
            <w:tcW w:type="dxa" w:w="1701"/>
          </w:tcPr>
          <w:p>
            <w:pPr>
              <w:spacing w:line="240" w:lineRule="auto" w:after="40" w:before="40"/>
              <w:ind w:firstLine="0" w:left="0"/>
            </w:pPr>
            <w:r/>
            <w:r>
              <w:rPr>
                <w:rFonts w:ascii="Times New Roman" w:hAnsi="Times New Roman"/>
                <w:b/>
                <w:sz w:val="20"/>
              </w:rPr>
              <w:t>Emoción (hipótesis)</w:t>
            </w:r>
          </w:p>
        </w:tc>
        <w:tc>
          <w:tcPr>
            <w:tcW w:type="dxa" w:w="1984"/>
          </w:tcPr>
          <w:p>
            <w:pPr>
              <w:spacing w:line="240" w:lineRule="auto" w:after="40" w:before="40"/>
              <w:ind w:firstLine="0" w:left="0"/>
            </w:pPr>
            <w:r/>
            <w:r>
              <w:rPr>
                <w:rFonts w:ascii="Times New Roman" w:hAnsi="Times New Roman"/>
                <w:b/>
                <w:sz w:val="20"/>
              </w:rPr>
              <w:t>Conducta observable</w:t>
            </w:r>
          </w:p>
        </w:tc>
      </w:tr>
      <w:tr>
        <w:tc>
          <w:tcPr>
            <w:tcW w:type="dxa" w:w="1871"/>
          </w:tcPr>
          <w:p>
            <w:pPr>
              <w:spacing w:line="240" w:lineRule="auto" w:after="40" w:before="40"/>
              <w:ind w:firstLine="0" w:left="0"/>
            </w:pPr>
            <w:r/>
            <w:r>
              <w:rPr>
                <w:rFonts w:ascii="Times New Roman" w:hAnsi="Times New Roman"/>
                <w:sz w:val="20"/>
              </w:rPr>
              <w:t>Luis (tienda donde bajó la conversación)</w:t>
            </w:r>
          </w:p>
        </w:tc>
        <w:tc>
          <w:tcPr>
            <w:tcW w:type="dxa" w:w="1814"/>
          </w:tcPr>
          <w:p>
            <w:pPr>
              <w:spacing w:line="240" w:lineRule="auto" w:after="40" w:before="40"/>
              <w:ind w:firstLine="0" w:left="0"/>
            </w:pPr>
            <w:r/>
            <w:r>
              <w:rPr>
                <w:rFonts w:ascii="Times New Roman" w:hAnsi="Times New Roman"/>
                <w:sz w:val="20"/>
              </w:rPr>
              <w:t>Debe aplicar el mismo guion que las otras 11 tiendas.</w:t>
            </w:r>
          </w:p>
        </w:tc>
        <w:tc>
          <w:tcPr>
            <w:tcW w:type="dxa" w:w="2154"/>
          </w:tcPr>
          <w:p>
            <w:pPr>
              <w:spacing w:line="240" w:lineRule="auto" w:after="40" w:before="40"/>
              <w:ind w:firstLine="0" w:left="0"/>
            </w:pPr>
            <w:r/>
            <w:r>
              <w:rPr>
                <w:rFonts w:ascii="Times New Roman" w:hAnsi="Times New Roman"/>
                <w:sz w:val="20"/>
              </w:rPr>
              <w:t>Podría interpretar que el guion ignora que en su barrio la gente viene a conversar.</w:t>
            </w:r>
          </w:p>
        </w:tc>
        <w:tc>
          <w:tcPr>
            <w:tcW w:type="dxa" w:w="1701"/>
          </w:tcPr>
          <w:p>
            <w:pPr>
              <w:spacing w:line="240" w:lineRule="auto" w:after="40" w:before="40"/>
              <w:ind w:firstLine="0" w:left="0"/>
            </w:pPr>
            <w:r/>
            <w:r>
              <w:rPr>
                <w:rFonts w:ascii="Times New Roman" w:hAnsi="Times New Roman"/>
                <w:sz w:val="20"/>
              </w:rPr>
              <w:t>Posible frustración por sentir que su contexto no cuenta.</w:t>
            </w:r>
          </w:p>
        </w:tc>
        <w:tc>
          <w:tcPr>
            <w:tcW w:type="dxa" w:w="1984"/>
          </w:tcPr>
          <w:p>
            <w:pPr>
              <w:spacing w:line="240" w:lineRule="auto" w:after="40" w:before="40"/>
              <w:ind w:firstLine="0" w:left="0"/>
            </w:pPr>
            <w:r/>
            <w:r>
              <w:rPr>
                <w:rFonts w:ascii="Times New Roman" w:hAnsi="Times New Roman"/>
                <w:sz w:val="20"/>
              </w:rPr>
              <w:t>Cuestiona abiertamente el guion en la reunión (B-F2).</w:t>
            </w:r>
          </w:p>
        </w:tc>
      </w:tr>
      <w:tr>
        <w:tc>
          <w:tcPr>
            <w:tcW w:type="dxa" w:w="1871"/>
          </w:tcPr>
          <w:p>
            <w:pPr>
              <w:spacing w:line="240" w:lineRule="auto" w:after="40" w:before="40"/>
              <w:ind w:firstLine="0" w:left="0"/>
            </w:pPr>
            <w:r/>
            <w:r>
              <w:rPr>
                <w:rFonts w:ascii="Times New Roman" w:hAnsi="Times New Roman"/>
                <w:sz w:val="20"/>
              </w:rPr>
              <w:t>Encargado de tienda donde el guion es útil</w:t>
            </w:r>
          </w:p>
        </w:tc>
        <w:tc>
          <w:tcPr>
            <w:tcW w:type="dxa" w:w="1814"/>
          </w:tcPr>
          <w:p>
            <w:pPr>
              <w:spacing w:line="240" w:lineRule="auto" w:after="40" w:before="40"/>
              <w:ind w:firstLine="0" w:left="0"/>
            </w:pPr>
            <w:r/>
            <w:r>
              <w:rPr>
                <w:rFonts w:ascii="Times New Roman" w:hAnsi="Times New Roman"/>
                <w:sz w:val="20"/>
              </w:rPr>
              <w:t>Debe aplicar el mismo guion que Luis.</w:t>
            </w:r>
          </w:p>
        </w:tc>
        <w:tc>
          <w:tcPr>
            <w:tcW w:type="dxa" w:w="2154"/>
          </w:tcPr>
          <w:p>
            <w:pPr>
              <w:spacing w:line="240" w:lineRule="auto" w:after="40" w:before="40"/>
              <w:ind w:firstLine="0" w:left="0"/>
            </w:pPr>
            <w:r/>
            <w:r>
              <w:rPr>
                <w:rFonts w:ascii="Times New Roman" w:hAnsi="Times New Roman"/>
                <w:sz w:val="20"/>
              </w:rPr>
              <w:t>Podría interpretar el guion como una estructura que facilita atender sin improvisar.</w:t>
            </w:r>
          </w:p>
        </w:tc>
        <w:tc>
          <w:tcPr>
            <w:tcW w:type="dxa" w:w="1701"/>
          </w:tcPr>
          <w:p>
            <w:pPr>
              <w:spacing w:line="240" w:lineRule="auto" w:after="40" w:before="40"/>
              <w:ind w:firstLine="0" w:left="0"/>
            </w:pPr>
            <w:r/>
            <w:r>
              <w:rPr>
                <w:rFonts w:ascii="Times New Roman" w:hAnsi="Times New Roman"/>
                <w:sz w:val="20"/>
              </w:rPr>
              <w:t>Posible alivio por tener un criterio claro.</w:t>
            </w:r>
          </w:p>
        </w:tc>
        <w:tc>
          <w:tcPr>
            <w:tcW w:type="dxa" w:w="1984"/>
          </w:tcPr>
          <w:p>
            <w:pPr>
              <w:spacing w:line="240" w:lineRule="auto" w:after="40" w:before="40"/>
              <w:ind w:firstLine="0" w:left="0"/>
            </w:pPr>
            <w:r/>
            <w:r>
              <w:rPr>
                <w:rFonts w:ascii="Times New Roman" w:hAnsi="Times New Roman"/>
                <w:sz w:val="20"/>
              </w:rPr>
              <w:t>Lo aplica sin objeciones; probablemente lo defendería en una reunión conjunta.</w:t>
            </w:r>
          </w:p>
        </w:tc>
      </w:tr>
    </w:tbl>
    <w:p>
      <w:pPr>
        <w:spacing w:after="0"/>
      </w:pPr>
    </w:p>
    <w:p>
      <w:pPr>
        <w:pStyle w:val="Heading1"/>
      </w:pPr>
      <w:r>
        <w:t>2. Reencuadrar y generar alternativas</w:t>
      </w:r>
    </w:p>
    <w:p>
      <w:r>
        <w:rPr>
          <w:b w:val="0"/>
          <w:i w:val="0"/>
        </w:rPr>
        <w:t>Pregunta de reencuadre: ¿cómo podríamos comunicarnos con los clientes de forma consistente en toda la cadena, sin imponer un guion idéntico que no funciona igual en todos los contextos?</w:t>
      </w:r>
    </w:p>
    <w:p>
      <w:r>
        <w:rPr>
          <w:b w:val="0"/>
          <w:i w:val="0"/>
        </w:rPr>
        <w:t>Las tres alternativas se comparan con cuatro filtros de creatividad estratégica vistos en el curso: valor (¿a quién le mejora algo?), alineación (¿por qué esta alternativa y no otra, dado el encargo de escuchar la diversidad entre tiendas?), viabilidad (¿se puede ejecutar con lo que la dirección ya autorizó, sin app, descuentos ni personal nuevo?) y responsabilidad (¿qué puede salir mal y quién debe gestionarlo?).</w:t>
      </w:r>
    </w:p>
    <w:p>
      <w:pPr>
        <w:pStyle w:val="Heading2"/>
      </w:pPr>
      <w:r>
        <w:t>Tres alternativas comparadas</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1"/>
          </w:tcPr>
          <w:p>
            <w:pPr>
              <w:spacing w:line="240" w:lineRule="auto" w:after="40" w:before="40"/>
              <w:ind w:firstLine="0" w:left="0"/>
            </w:pPr>
            <w:r/>
            <w:r>
              <w:rPr>
                <w:rFonts w:ascii="Times New Roman" w:hAnsi="Times New Roman"/>
                <w:b/>
                <w:sz w:val="20"/>
              </w:rPr>
              <w:t>Alternativa</w:t>
            </w:r>
          </w:p>
        </w:tc>
        <w:tc>
          <w:tcPr>
            <w:tcW w:type="dxa" w:w="1814"/>
          </w:tcPr>
          <w:p>
            <w:pPr>
              <w:spacing w:line="240" w:lineRule="auto" w:after="40" w:before="40"/>
              <w:ind w:firstLine="0" w:left="0"/>
            </w:pPr>
            <w:r/>
            <w:r>
              <w:rPr>
                <w:rFonts w:ascii="Times New Roman" w:hAnsi="Times New Roman"/>
                <w:b/>
                <w:sz w:val="20"/>
              </w:rPr>
              <w:t>Valor</w:t>
            </w:r>
          </w:p>
        </w:tc>
        <w:tc>
          <w:tcPr>
            <w:tcW w:type="dxa" w:w="1701"/>
          </w:tcPr>
          <w:p>
            <w:pPr>
              <w:spacing w:line="240" w:lineRule="auto" w:after="40" w:before="40"/>
              <w:ind w:firstLine="0" w:left="0"/>
            </w:pPr>
            <w:r/>
            <w:r>
              <w:rPr>
                <w:rFonts w:ascii="Times New Roman" w:hAnsi="Times New Roman"/>
                <w:b/>
                <w:sz w:val="20"/>
              </w:rPr>
              <w:t>Alineación</w:t>
            </w:r>
          </w:p>
        </w:tc>
        <w:tc>
          <w:tcPr>
            <w:tcW w:type="dxa" w:w="1587"/>
          </w:tcPr>
          <w:p>
            <w:pPr>
              <w:spacing w:line="240" w:lineRule="auto" w:after="40" w:before="40"/>
              <w:ind w:firstLine="0" w:left="0"/>
            </w:pPr>
            <w:r/>
            <w:r>
              <w:rPr>
                <w:rFonts w:ascii="Times New Roman" w:hAnsi="Times New Roman"/>
                <w:b/>
                <w:sz w:val="20"/>
              </w:rPr>
              <w:t>Viabilidad</w:t>
            </w:r>
          </w:p>
        </w:tc>
        <w:tc>
          <w:tcPr>
            <w:tcW w:type="dxa" w:w="2381"/>
          </w:tcPr>
          <w:p>
            <w:pPr>
              <w:spacing w:line="240" w:lineRule="auto" w:after="40" w:before="40"/>
              <w:ind w:firstLine="0" w:left="0"/>
            </w:pPr>
            <w:r/>
            <w:r>
              <w:rPr>
                <w:rFonts w:ascii="Times New Roman" w:hAnsi="Times New Roman"/>
                <w:b/>
                <w:sz w:val="20"/>
              </w:rPr>
              <w:t>Responsabilidad</w:t>
            </w:r>
          </w:p>
        </w:tc>
      </w:tr>
      <w:tr>
        <w:tc>
          <w:tcPr>
            <w:tcW w:type="dxa" w:w="1871"/>
          </w:tcPr>
          <w:p>
            <w:pPr>
              <w:spacing w:line="240" w:lineRule="auto" w:after="40" w:before="40"/>
              <w:ind w:firstLine="0" w:left="0"/>
            </w:pPr>
            <w:r/>
            <w:r>
              <w:rPr>
                <w:rFonts w:ascii="Times New Roman" w:hAnsi="Times New Roman"/>
                <w:sz w:val="20"/>
              </w:rPr>
              <w:t>1. Piso común + espacio local</w:t>
            </w:r>
          </w:p>
        </w:tc>
        <w:tc>
          <w:tcPr>
            <w:tcW w:type="dxa" w:w="1814"/>
          </w:tcPr>
          <w:p>
            <w:pPr>
              <w:spacing w:line="240" w:lineRule="auto" w:after="40" w:before="40"/>
              <w:ind w:firstLine="0" w:left="0"/>
            </w:pPr>
            <w:r/>
            <w:r>
              <w:rPr>
                <w:rFonts w:ascii="Times New Roman" w:hAnsi="Times New Roman"/>
                <w:sz w:val="20"/>
              </w:rPr>
              <w:t>Alto: resuelve directamente B-F1/B-F2 sin perder identidad de marca.</w:t>
            </w:r>
          </w:p>
        </w:tc>
        <w:tc>
          <w:tcPr>
            <w:tcW w:type="dxa" w:w="1701"/>
          </w:tcPr>
          <w:p>
            <w:pPr>
              <w:spacing w:line="240" w:lineRule="auto" w:after="40" w:before="40"/>
              <w:ind w:firstLine="0" w:left="0"/>
            </w:pPr>
            <w:r/>
            <w:r>
              <w:rPr>
                <w:rFonts w:ascii="Times New Roman" w:hAnsi="Times New Roman"/>
                <w:sz w:val="20"/>
              </w:rPr>
              <w:t>Alta: responde al encargo de escucha y diversidad.</w:t>
            </w:r>
          </w:p>
        </w:tc>
        <w:tc>
          <w:tcPr>
            <w:tcW w:type="dxa" w:w="1587"/>
          </w:tcPr>
          <w:p>
            <w:pPr>
              <w:spacing w:line="240" w:lineRule="auto" w:after="40" w:before="40"/>
              <w:ind w:firstLine="0" w:left="0"/>
            </w:pPr>
            <w:r/>
            <w:r>
              <w:rPr>
                <w:rFonts w:ascii="Times New Roman" w:hAnsi="Times New Roman"/>
                <w:sz w:val="20"/>
              </w:rPr>
              <w:t>Alta: sin personal, tecnología ni presupuesto adicional.</w:t>
            </w:r>
          </w:p>
        </w:tc>
        <w:tc>
          <w:tcPr>
            <w:tcW w:type="dxa" w:w="2381"/>
          </w:tcPr>
          <w:p>
            <w:pPr>
              <w:spacing w:line="240" w:lineRule="auto" w:after="40" w:before="40"/>
              <w:ind w:firstLine="0" w:left="0"/>
            </w:pPr>
            <w:r/>
            <w:r>
              <w:rPr>
                <w:rFonts w:ascii="Times New Roman" w:hAnsi="Times New Roman"/>
                <w:sz w:val="20"/>
              </w:rPr>
              <w:t>Exige acordar quién define los 2-3 elementos del piso común y qué pasa si una tienda se desvía más allá de lo acordado.</w:t>
            </w:r>
          </w:p>
        </w:tc>
      </w:tr>
      <w:tr>
        <w:tc>
          <w:tcPr>
            <w:tcW w:type="dxa" w:w="1871"/>
          </w:tcPr>
          <w:p>
            <w:pPr>
              <w:spacing w:line="240" w:lineRule="auto" w:after="40" w:before="40"/>
              <w:ind w:firstLine="0" w:left="0"/>
            </w:pPr>
            <w:r/>
            <w:r>
              <w:rPr>
                <w:rFonts w:ascii="Times New Roman" w:hAnsi="Times New Roman"/>
                <w:sz w:val="20"/>
              </w:rPr>
              <w:t>2. Canal de retroalimentación entre tiendas</w:t>
            </w:r>
          </w:p>
        </w:tc>
        <w:tc>
          <w:tcPr>
            <w:tcW w:type="dxa" w:w="1814"/>
          </w:tcPr>
          <w:p>
            <w:pPr>
              <w:spacing w:line="240" w:lineRule="auto" w:after="40" w:before="40"/>
              <w:ind w:firstLine="0" w:left="0"/>
            </w:pPr>
            <w:r/>
            <w:r>
              <w:rPr>
                <w:rFonts w:ascii="Times New Roman" w:hAnsi="Times New Roman"/>
                <w:sz w:val="20"/>
              </w:rPr>
              <w:t>Alto para la sostenibilidad de cualquier decisión futura — resuelve B-F7.</w:t>
            </w:r>
          </w:p>
        </w:tc>
        <w:tc>
          <w:tcPr>
            <w:tcW w:type="dxa" w:w="1701"/>
          </w:tcPr>
          <w:p>
            <w:pPr>
              <w:spacing w:line="240" w:lineRule="auto" w:after="40" w:before="40"/>
              <w:ind w:firstLine="0" w:left="0"/>
            </w:pPr>
            <w:r/>
            <w:r>
              <w:rPr>
                <w:rFonts w:ascii="Times New Roman" w:hAnsi="Times New Roman"/>
                <w:sz w:val="20"/>
              </w:rPr>
              <w:t>Alta: habilita decidir con evidencia, no solo con intuición.</w:t>
            </w:r>
          </w:p>
        </w:tc>
        <w:tc>
          <w:tcPr>
            <w:tcW w:type="dxa" w:w="1587"/>
          </w:tcPr>
          <w:p>
            <w:pPr>
              <w:spacing w:line="240" w:lineRule="auto" w:after="40" w:before="40"/>
              <w:ind w:firstLine="0" w:left="0"/>
            </w:pPr>
            <w:r/>
            <w:r>
              <w:rPr>
                <w:rFonts w:ascii="Times New Roman" w:hAnsi="Times New Roman"/>
                <w:sz w:val="20"/>
              </w:rPr>
              <w:t>Alta: sin personal ni presupuesto adicional.</w:t>
            </w:r>
          </w:p>
        </w:tc>
        <w:tc>
          <w:tcPr>
            <w:tcW w:type="dxa" w:w="2381"/>
          </w:tcPr>
          <w:p>
            <w:pPr>
              <w:spacing w:line="240" w:lineRule="auto" w:after="40" w:before="40"/>
              <w:ind w:firstLine="0" w:left="0"/>
            </w:pPr>
            <w:r/>
            <w:r>
              <w:rPr>
                <w:rFonts w:ascii="Times New Roman" w:hAnsi="Times New Roman"/>
                <w:sz w:val="20"/>
              </w:rPr>
              <w:t>Exige disciplina de seguimiento para que no se vuelva un espacio solo enunciativo (se recoge información pero nunca se actúa).</w:t>
            </w:r>
          </w:p>
        </w:tc>
      </w:tr>
      <w:tr>
        <w:tc>
          <w:tcPr>
            <w:tcW w:type="dxa" w:w="1871"/>
          </w:tcPr>
          <w:p>
            <w:pPr>
              <w:spacing w:line="240" w:lineRule="auto" w:after="40" w:before="40"/>
              <w:ind w:firstLine="0" w:left="0"/>
            </w:pPr>
            <w:r/>
            <w:r>
              <w:rPr>
                <w:rFonts w:ascii="Times New Roman" w:hAnsi="Times New Roman"/>
                <w:sz w:val="20"/>
              </w:rPr>
              <w:t>3. Segmentar el guion por tipo de tienda</w:t>
            </w:r>
          </w:p>
        </w:tc>
        <w:tc>
          <w:tcPr>
            <w:tcW w:type="dxa" w:w="1814"/>
          </w:tcPr>
          <w:p>
            <w:pPr>
              <w:spacing w:line="240" w:lineRule="auto" w:after="40" w:before="40"/>
              <w:ind w:firstLine="0" w:left="0"/>
            </w:pPr>
            <w:r/>
            <w:r>
              <w:rPr>
                <w:rFonts w:ascii="Times New Roman" w:hAnsi="Times New Roman"/>
                <w:sz w:val="20"/>
              </w:rPr>
              <w:t>Alto: ataca la causa raíz (uniformidad forzada).</w:t>
            </w:r>
          </w:p>
        </w:tc>
        <w:tc>
          <w:tcPr>
            <w:tcW w:type="dxa" w:w="1701"/>
          </w:tcPr>
          <w:p>
            <w:pPr>
              <w:spacing w:line="240" w:lineRule="auto" w:after="40" w:before="40"/>
              <w:ind w:firstLine="0" w:left="0"/>
            </w:pPr>
            <w:r/>
            <w:r>
              <w:rPr>
                <w:rFonts w:ascii="Times New Roman" w:hAnsi="Times New Roman"/>
                <w:sz w:val="20"/>
              </w:rPr>
              <w:t>Alta.</w:t>
            </w:r>
          </w:p>
        </w:tc>
        <w:tc>
          <w:tcPr>
            <w:tcW w:type="dxa" w:w="1587"/>
          </w:tcPr>
          <w:p>
            <w:pPr>
              <w:spacing w:line="240" w:lineRule="auto" w:after="40" w:before="40"/>
              <w:ind w:firstLine="0" w:left="0"/>
            </w:pPr>
            <w:r/>
            <w:r>
              <w:rPr>
                <w:rFonts w:ascii="Times New Roman" w:hAnsi="Times New Roman"/>
                <w:sz w:val="20"/>
              </w:rPr>
              <w:t>Media: requiere evidencia confiable de qué variante aplica a cada tienda, que hoy no existe.</w:t>
            </w:r>
          </w:p>
        </w:tc>
        <w:tc>
          <w:tcPr>
            <w:tcW w:type="dxa" w:w="2381"/>
          </w:tcPr>
          <w:p>
            <w:pPr>
              <w:spacing w:line="240" w:lineRule="auto" w:after="40" w:before="40"/>
              <w:ind w:firstLine="0" w:left="0"/>
            </w:pPr>
            <w:r/>
            <w:r>
              <w:rPr>
                <w:rFonts w:ascii="Times New Roman" w:hAnsi="Times New Roman"/>
                <w:sz w:val="20"/>
              </w:rPr>
              <w:t>Exige definir quién valida cada variante del guion, con qué datos del canal de retroalimentación se construye cada una, y qué pasa si una tienda queda mal clasificada y recibe la variante que no le corresponde — es la alternativa con más trabajo de diseño inicial de las tres.</w:t>
            </w:r>
          </w:p>
        </w:tc>
      </w:tr>
    </w:tbl>
    <w:p>
      <w:pPr>
        <w:spacing w:after="0"/>
      </w:pPr>
    </w:p>
    <w:p>
      <w:r>
        <w:rPr>
          <w:b w:val="0"/>
          <w:i w:val="0"/>
        </w:rPr>
        <w:t>Se elige la Alternativa 1 como eje inmediato de la recomendación gerencial (sección 5). La Alternativa 2 no se descarta: se absorbe como mecanismo habilitante (sección 4) — sin un canal para que las tiendas reporten qué funciona, cualquier ajuste al guion corre el riesgo de repetir el patrón que ya tuvo la propuesta de B-F3: quedar sin discutir. La Alternativa 3 se pospone, no se descarta: es una evolución natural de la Alternativa 1 una vez que la Alternativa 2 aporte evidencia suficiente — intentarla ahora sería adivinar.</w:t>
      </w:r>
    </w:p>
    <w:p>
      <w:pPr>
        <w:pStyle w:val="Heading1"/>
      </w:pPr>
      <w:r>
        <w:t>3. Ejercer liderazgo y conversar</w:t>
      </w:r>
    </w:p>
    <w:p>
      <w:r>
        <w:rPr>
          <w:b w:val="0"/>
          <w:i w:val="0"/>
        </w:rPr>
        <w:t>La conducta de liderazgo que empeora el caso es que Clara generalizó el guion a las 12 tiendas sin escuchar o medir antes cómo varía su efecto entre tiendas — no hubo piloto ni consulta previa, y cuando Luis objeta (B-F2), no hay evidencia de que su observación se haya tomado como un dato válido sobre su contexto, en vez de como resistencia personal.</w:t>
      </w:r>
    </w:p>
    <w:p>
      <w:r>
        <w:rPr>
          <w:b w:val="0"/>
          <w:i w:val="0"/>
        </w:rPr>
        <w:t>La práctica de liderazgo propuesta es escuchar primero cómo varía el tipo de encuentro de servicio entre tiendas antes de generalizar un cambio de proceso de atención. Esto tiene respaldo empírico (ver Anexo 1): Victorino, Verma y Wardell (2013) encontraron que un guion verbal alto no afecta la calidad percibida en encuentros estandarizados, pero sí la afecta negativamente en encuentros personalizados. La tienda de Luis, donde “la gente viene a conversar”, corresponde a un encuentro más personalizado — justo el tipo de situación donde el guion único causa más daño.</w:t>
      </w:r>
    </w:p>
    <w:p>
      <w:pPr>
        <w:pStyle w:val="Heading2"/>
      </w:pPr>
      <w:r>
        <w:t>Guion de conversación difícil (cuatro movimientos)</w:t>
      </w:r>
    </w:p>
    <w:p>
      <w:r>
        <w:rPr>
          <w:b/>
        </w:rPr>
        <w:t xml:space="preserve">Nombrar: </w:t>
      </w:r>
      <w:r>
        <w:t>“Noto que desde el lunes todas las tiendas deben seguir el mismo guion de atención.”</w:t>
      </w:r>
    </w:p>
    <w:p>
      <w:r>
        <w:rPr>
          <w:b/>
        </w:rPr>
        <w:t xml:space="preserve">Indagar: </w:t>
      </w:r>
      <w:r>
        <w:t>“¿Qué información tenías sobre cómo varía la atención entre tiendas antes de decidir un guion único para todas? Pregunto porque tu tienda reportó menos conversación espontánea con los clientes desde que se aplicó.”</w:t>
      </w:r>
    </w:p>
    <w:p>
      <w:r>
        <w:rPr>
          <w:b/>
        </w:rPr>
        <w:t xml:space="preserve">Reencuadrar: </w:t>
      </w:r>
      <w:r>
        <w:t>“El objetivo no es que las 12 tiendas digan exactamente lo mismo, sino que cada cliente sienta una atención consistente y útil — en tu tienda eso puede requerir más espacio para la conversación, no un libreto idéntico al de otra tienda donde sí funciona bien.”</w:t>
      </w:r>
    </w:p>
    <w:p>
      <w:r>
        <w:rPr>
          <w:b/>
        </w:rPr>
        <w:t xml:space="preserve">Acordar: </w:t>
      </w:r>
      <w:r>
        <w:t>“Clara circula antes del 29 de octubre los 2-3 elementos mínimos del guion (piso común), y Luis y los demás encargados definen el resto según su contexto; se revisa cómo funcionó en la reunión mensual siguiente.”</w:t>
      </w:r>
    </w:p>
    <w:p>
      <w:r>
        <w:rPr>
          <w:b w:val="0"/>
          <w:i w:val="0"/>
        </w:rPr>
        <w:t>El movimiento de nombrar describe un único hecho verificable (que el guion se aplicó igual en las 12 tiendas), no una intención ni un juicio sobre Clara — esa es la asertividad. El movimiento de indagar asume que Clara tenía una razón legítima para buscar consistencia, y pregunta por la información con la que contaba en vez de acusarla de no haber consultado — esa es la empatía: no se descarta su objetivo, se amplía la forma de lograrlo.</w:t>
      </w:r>
    </w:p>
    <w:p>
      <w:pPr>
        <w:pStyle w:val="Heading1"/>
      </w:pPr>
      <w:r>
        <w:t>4. Coordinar al equipo</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14"/>
          </w:tcPr>
          <w:p>
            <w:pPr>
              <w:spacing w:line="240" w:lineRule="auto" w:after="40" w:before="40"/>
              <w:ind w:firstLine="0" w:left="0"/>
            </w:pPr>
            <w:r/>
            <w:r>
              <w:rPr>
                <w:rFonts w:ascii="Times New Roman" w:hAnsi="Times New Roman"/>
                <w:b/>
                <w:sz w:val="20"/>
              </w:rPr>
              <w:t>Acuerdo</w:t>
            </w:r>
          </w:p>
        </w:tc>
        <w:tc>
          <w:tcPr>
            <w:tcW w:type="dxa" w:w="1701"/>
          </w:tcPr>
          <w:p>
            <w:pPr>
              <w:spacing w:line="240" w:lineRule="auto" w:after="40" w:before="40"/>
              <w:ind w:firstLine="0" w:left="0"/>
            </w:pPr>
            <w:r/>
            <w:r>
              <w:rPr>
                <w:rFonts w:ascii="Times New Roman" w:hAnsi="Times New Roman"/>
                <w:b/>
                <w:sz w:val="20"/>
              </w:rPr>
              <w:t>Responsable</w:t>
            </w:r>
          </w:p>
        </w:tc>
        <w:tc>
          <w:tcPr>
            <w:tcW w:type="dxa" w:w="2438"/>
          </w:tcPr>
          <w:p>
            <w:pPr>
              <w:spacing w:line="240" w:lineRule="auto" w:after="40" w:before="40"/>
              <w:ind w:firstLine="0" w:left="0"/>
            </w:pPr>
            <w:r/>
            <w:r>
              <w:rPr>
                <w:rFonts w:ascii="Times New Roman" w:hAnsi="Times New Roman"/>
                <w:b/>
                <w:sz w:val="20"/>
              </w:rPr>
              <w:t>Acción</w:t>
            </w:r>
          </w:p>
        </w:tc>
        <w:tc>
          <w:tcPr>
            <w:tcW w:type="dxa" w:w="1417"/>
          </w:tcPr>
          <w:p>
            <w:pPr>
              <w:spacing w:line="240" w:lineRule="auto" w:after="40" w:before="40"/>
              <w:ind w:firstLine="0" w:left="0"/>
            </w:pPr>
            <w:r/>
            <w:r>
              <w:rPr>
                <w:rFonts w:ascii="Times New Roman" w:hAnsi="Times New Roman"/>
                <w:b/>
                <w:sz w:val="20"/>
              </w:rPr>
              <w:t>Plazo</w:t>
            </w:r>
          </w:p>
        </w:tc>
        <w:tc>
          <w:tcPr>
            <w:tcW w:type="dxa" w:w="1984"/>
          </w:tcPr>
          <w:p>
            <w:pPr>
              <w:spacing w:line="240" w:lineRule="auto" w:after="40" w:before="40"/>
              <w:ind w:firstLine="0" w:left="0"/>
            </w:pPr>
            <w:r/>
            <w:r>
              <w:rPr>
                <w:rFonts w:ascii="Times New Roman" w:hAnsi="Times New Roman"/>
                <w:b/>
                <w:sz w:val="20"/>
              </w:rPr>
              <w:t>Evidencia</w:t>
            </w:r>
          </w:p>
        </w:tc>
      </w:tr>
      <w:tr>
        <w:tc>
          <w:tcPr>
            <w:tcW w:type="dxa" w:w="1814"/>
          </w:tcPr>
          <w:p>
            <w:pPr>
              <w:spacing w:line="240" w:lineRule="auto" w:after="40" w:before="40"/>
              <w:ind w:firstLine="0" w:left="0"/>
            </w:pPr>
            <w:r/>
            <w:r>
              <w:rPr>
                <w:rFonts w:ascii="Times New Roman" w:hAnsi="Times New Roman"/>
                <w:sz w:val="20"/>
              </w:rPr>
              <w:t>(a) Cómo se toman o escalan decisiones</w:t>
            </w:r>
          </w:p>
        </w:tc>
        <w:tc>
          <w:tcPr>
            <w:tcW w:type="dxa" w:w="1701"/>
          </w:tcPr>
          <w:p>
            <w:pPr>
              <w:spacing w:line="240" w:lineRule="auto" w:after="40" w:before="40"/>
              <w:ind w:firstLine="0" w:left="0"/>
            </w:pPr>
            <w:r/>
            <w:r>
              <w:rPr>
                <w:rFonts w:ascii="Times New Roman" w:hAnsi="Times New Roman"/>
                <w:sz w:val="20"/>
              </w:rPr>
              <w:t>Clara + encargados de tienda</w:t>
            </w:r>
          </w:p>
        </w:tc>
        <w:tc>
          <w:tcPr>
            <w:tcW w:type="dxa" w:w="2438"/>
          </w:tcPr>
          <w:p>
            <w:pPr>
              <w:spacing w:line="240" w:lineRule="auto" w:after="40" w:before="40"/>
              <w:ind w:firstLine="0" w:left="0"/>
            </w:pPr>
            <w:r/>
            <w:r>
              <w:rPr>
                <w:rFonts w:ascii="Times New Roman" w:hAnsi="Times New Roman"/>
                <w:sz w:val="20"/>
              </w:rPr>
              <w:t>El piso común lo define Clara con aporte de los encargados; los ajustes de una sola tienda los decide directamente su encargado, sin escalar.</w:t>
            </w:r>
          </w:p>
        </w:tc>
        <w:tc>
          <w:tcPr>
            <w:tcW w:type="dxa" w:w="1417"/>
          </w:tcPr>
          <w:p>
            <w:pPr>
              <w:spacing w:line="240" w:lineRule="auto" w:after="40" w:before="40"/>
              <w:ind w:firstLine="0" w:left="0"/>
            </w:pPr>
            <w:r/>
            <w:r>
              <w:rPr>
                <w:rFonts w:ascii="Times New Roman" w:hAnsi="Times New Roman"/>
                <w:sz w:val="20"/>
              </w:rPr>
              <w:t>A partir de noviembre.</w:t>
            </w:r>
          </w:p>
        </w:tc>
        <w:tc>
          <w:tcPr>
            <w:tcW w:type="dxa" w:w="1984"/>
          </w:tcPr>
          <w:p>
            <w:pPr>
              <w:spacing w:line="240" w:lineRule="auto" w:after="40" w:before="40"/>
              <w:ind w:firstLine="0" w:left="0"/>
            </w:pPr>
            <w:r/>
            <w:r>
              <w:rPr>
                <w:rFonts w:ascii="Times New Roman" w:hAnsi="Times New Roman"/>
                <w:sz w:val="20"/>
              </w:rPr>
              <w:t>Documento breve con el piso común acordado, circulado a las 12 tiendas.</w:t>
            </w:r>
          </w:p>
        </w:tc>
      </w:tr>
      <w:tr>
        <w:tc>
          <w:tcPr>
            <w:tcW w:type="dxa" w:w="1814"/>
          </w:tcPr>
          <w:p>
            <w:pPr>
              <w:spacing w:line="240" w:lineRule="auto" w:after="40" w:before="40"/>
              <w:ind w:firstLine="0" w:left="0"/>
            </w:pPr>
            <w:r/>
            <w:r>
              <w:rPr>
                <w:rFonts w:ascii="Times New Roman" w:hAnsi="Times New Roman"/>
                <w:sz w:val="20"/>
              </w:rPr>
              <w:t>(b) Cómo se expresan desacuerdos sin penalizar</w:t>
            </w:r>
          </w:p>
        </w:tc>
        <w:tc>
          <w:tcPr>
            <w:tcW w:type="dxa" w:w="1701"/>
          </w:tcPr>
          <w:p>
            <w:pPr>
              <w:spacing w:line="240" w:lineRule="auto" w:after="40" w:before="40"/>
              <w:ind w:firstLine="0" w:left="0"/>
            </w:pPr>
            <w:r/>
            <w:r>
              <w:rPr>
                <w:rFonts w:ascii="Times New Roman" w:hAnsi="Times New Roman"/>
                <w:sz w:val="20"/>
              </w:rPr>
              <w:t>Responsable de operaciones + encargados de tienda</w:t>
            </w:r>
          </w:p>
        </w:tc>
        <w:tc>
          <w:tcPr>
            <w:tcW w:type="dxa" w:w="2438"/>
          </w:tcPr>
          <w:p>
            <w:pPr>
              <w:spacing w:line="240" w:lineRule="auto" w:after="40" w:before="40"/>
              <w:ind w:firstLine="0" w:left="0"/>
            </w:pPr>
            <w:r/>
            <w:r>
              <w:rPr>
                <w:rFonts w:ascii="Times New Roman" w:hAnsi="Times New Roman"/>
                <w:sz w:val="20"/>
              </w:rPr>
              <w:t>Punto fijo de agenda en la reunión mensual: cada tienda reporta qué del guion funcionó y qué no, sin que eso se interprete como incumplimiento.</w:t>
            </w:r>
          </w:p>
        </w:tc>
        <w:tc>
          <w:tcPr>
            <w:tcW w:type="dxa" w:w="1417"/>
          </w:tcPr>
          <w:p>
            <w:pPr>
              <w:spacing w:line="240" w:lineRule="auto" w:after="40" w:before="40"/>
              <w:ind w:firstLine="0" w:left="0"/>
            </w:pPr>
            <w:r/>
            <w:r>
              <w:rPr>
                <w:rFonts w:ascii="Times New Roman" w:hAnsi="Times New Roman"/>
                <w:sz w:val="20"/>
              </w:rPr>
              <w:t>Reunión mensual de noviembre; revisión en la siguiente.</w:t>
            </w:r>
          </w:p>
        </w:tc>
        <w:tc>
          <w:tcPr>
            <w:tcW w:type="dxa" w:w="1984"/>
          </w:tcPr>
          <w:p>
            <w:pPr>
              <w:spacing w:line="240" w:lineRule="auto" w:after="40" w:before="40"/>
              <w:ind w:firstLine="0" w:left="0"/>
            </w:pPr>
            <w:r/>
            <w:r>
              <w:rPr>
                <w:rFonts w:ascii="Times New Roman" w:hAnsi="Times New Roman"/>
                <w:sz w:val="20"/>
              </w:rPr>
              <w:t>Registro de reportes por tienda y de los ajustes decididos a partir de ellos.</w:t>
            </w:r>
          </w:p>
        </w:tc>
      </w:tr>
    </w:tbl>
    <w:p>
      <w:pPr>
        <w:spacing w:after="0"/>
      </w:pPr>
    </w:p>
    <w:p>
      <w:pPr>
        <w:pStyle w:val="Heading1"/>
      </w:pPr>
      <w:r>
        <w:t>5. Emitir una recomendación gerencial</w:t>
      </w:r>
    </w:p>
    <w:p>
      <w:r>
        <w:rPr>
          <w:b w:val="0"/>
          <w:i w:val="0"/>
        </w:rPr>
        <w:t>Decisión principal: implementar la Alternativa 1 (piso común + espacio local), sostenida por el mecanismo de la Alternativa 2 (canal de retroalimentación entre tiendas, sección 4) para decidir con evidencia real si conviene avanzar hacia la Alternativa 3 (segmentación por contexto) en una fase posterior.</w:t>
      </w:r>
    </w:p>
    <w:p>
      <w:pPr>
        <w:pStyle w:val="Heading2"/>
      </w:pPr>
      <w:r>
        <w:t>Acciones priorizadas (30-90 días)</w:t>
      </w:r>
    </w:p>
    <w:tbl>
      <w:tblPr>
        <w:tblStyle w:val="LightGrid-Accent1"/>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4"/>
          </w:tcPr>
          <w:p>
            <w:pPr>
              <w:spacing w:line="240" w:lineRule="auto" w:after="40" w:before="40"/>
              <w:ind w:firstLine="0" w:left="0"/>
            </w:pPr>
            <w:r/>
            <w:r>
              <w:rPr>
                <w:rFonts w:ascii="Times New Roman" w:hAnsi="Times New Roman"/>
                <w:b/>
                <w:sz w:val="20"/>
              </w:rPr>
              <w:t>Acción</w:t>
            </w:r>
          </w:p>
        </w:tc>
        <w:tc>
          <w:tcPr>
            <w:tcW w:type="dxa" w:w="1587"/>
          </w:tcPr>
          <w:p>
            <w:pPr>
              <w:spacing w:line="240" w:lineRule="auto" w:after="40" w:before="40"/>
              <w:ind w:firstLine="0" w:left="0"/>
            </w:pPr>
            <w:r/>
            <w:r>
              <w:rPr>
                <w:rFonts w:ascii="Times New Roman" w:hAnsi="Times New Roman"/>
                <w:b/>
                <w:sz w:val="20"/>
              </w:rPr>
              <w:t>Responsable</w:t>
            </w:r>
          </w:p>
        </w:tc>
        <w:tc>
          <w:tcPr>
            <w:tcW w:type="dxa" w:w="1701"/>
          </w:tcPr>
          <w:p>
            <w:pPr>
              <w:spacing w:line="240" w:lineRule="auto" w:after="40" w:before="40"/>
              <w:ind w:firstLine="0" w:left="0"/>
            </w:pPr>
            <w:r/>
            <w:r>
              <w:rPr>
                <w:rFonts w:ascii="Times New Roman" w:hAnsi="Times New Roman"/>
                <w:b/>
                <w:sz w:val="20"/>
              </w:rPr>
              <w:t>Fecha</w:t>
            </w:r>
          </w:p>
        </w:tc>
        <w:tc>
          <w:tcPr>
            <w:tcW w:type="dxa" w:w="1871"/>
          </w:tcPr>
          <w:p>
            <w:pPr>
              <w:spacing w:line="240" w:lineRule="auto" w:after="40" w:before="40"/>
              <w:ind w:firstLine="0" w:left="0"/>
            </w:pPr>
            <w:r/>
            <w:r>
              <w:rPr>
                <w:rFonts w:ascii="Times New Roman" w:hAnsi="Times New Roman"/>
                <w:b/>
                <w:sz w:val="20"/>
              </w:rPr>
              <w:t>Indicador</w:t>
            </w:r>
          </w:p>
        </w:tc>
        <w:tc>
          <w:tcPr>
            <w:tcW w:type="dxa" w:w="2211"/>
          </w:tcPr>
          <w:p>
            <w:pPr>
              <w:spacing w:line="240" w:lineRule="auto" w:after="40" w:before="40"/>
              <w:ind w:firstLine="0" w:left="0"/>
            </w:pPr>
            <w:r/>
            <w:r>
              <w:rPr>
                <w:rFonts w:ascii="Times New Roman" w:hAnsi="Times New Roman"/>
                <w:b/>
                <w:sz w:val="20"/>
              </w:rPr>
              <w:t>Riesgo humano/ético</w:t>
            </w:r>
          </w:p>
        </w:tc>
      </w:tr>
      <w:tr>
        <w:tc>
          <w:tcPr>
            <w:tcW w:type="dxa" w:w="1984"/>
          </w:tcPr>
          <w:p>
            <w:pPr>
              <w:spacing w:line="240" w:lineRule="auto" w:after="40" w:before="40"/>
              <w:ind w:firstLine="0" w:left="0"/>
            </w:pPr>
            <w:r/>
            <w:r>
              <w:rPr>
                <w:rFonts w:ascii="Times New Roman" w:hAnsi="Times New Roman"/>
                <w:sz w:val="20"/>
              </w:rPr>
              <w:t>1. Definir e implementar el piso común</w:t>
            </w:r>
          </w:p>
        </w:tc>
        <w:tc>
          <w:tcPr>
            <w:tcW w:type="dxa" w:w="1587"/>
          </w:tcPr>
          <w:p>
            <w:pPr>
              <w:spacing w:line="240" w:lineRule="auto" w:after="40" w:before="40"/>
              <w:ind w:firstLine="0" w:left="0"/>
            </w:pPr>
            <w:r/>
            <w:r>
              <w:rPr>
                <w:rFonts w:ascii="Times New Roman" w:hAnsi="Times New Roman"/>
                <w:sz w:val="20"/>
              </w:rPr>
              <w:t>Clara + 12 encargados de tienda</w:t>
            </w:r>
          </w:p>
        </w:tc>
        <w:tc>
          <w:tcPr>
            <w:tcW w:type="dxa" w:w="1701"/>
          </w:tcPr>
          <w:p>
            <w:pPr>
              <w:spacing w:line="240" w:lineRule="auto" w:after="40" w:before="40"/>
              <w:ind w:firstLine="0" w:left="0"/>
            </w:pPr>
            <w:r/>
            <w:r>
              <w:rPr>
                <w:rFonts w:ascii="Times New Roman" w:hAnsi="Times New Roman"/>
                <w:sz w:val="20"/>
              </w:rPr>
              <w:t>Definición antes del día 15; implementación antes del día 30; revisión al día 60.</w:t>
            </w:r>
          </w:p>
        </w:tc>
        <w:tc>
          <w:tcPr>
            <w:tcW w:type="dxa" w:w="1871"/>
          </w:tcPr>
          <w:p>
            <w:pPr>
              <w:spacing w:line="240" w:lineRule="auto" w:after="40" w:before="40"/>
              <w:ind w:firstLine="0" w:left="0"/>
            </w:pPr>
            <w:r/>
            <w:r>
              <w:rPr>
                <w:rFonts w:ascii="Times New Roman" w:hAnsi="Times New Roman"/>
                <w:sz w:val="20"/>
              </w:rPr>
              <w:t>Nivel de conversación espontánea reportado (antes/después) en la tienda de Luis y en las dos tiendas que consideraban útil el guion.</w:t>
            </w:r>
          </w:p>
        </w:tc>
        <w:tc>
          <w:tcPr>
            <w:tcW w:type="dxa" w:w="2211"/>
          </w:tcPr>
          <w:p>
            <w:pPr>
              <w:spacing w:line="240" w:lineRule="auto" w:after="40" w:before="40"/>
              <w:ind w:firstLine="0" w:left="0"/>
            </w:pPr>
            <w:r/>
            <w:r>
              <w:rPr>
                <w:rFonts w:ascii="Times New Roman" w:hAnsi="Times New Roman"/>
                <w:sz w:val="20"/>
              </w:rPr>
              <w:t>Que “espacio local” se use para no cambiar nada, o se perciba como falta de dirección — se mitiga con el piso común obligatorio y la revisión mensual.</w:t>
            </w:r>
          </w:p>
        </w:tc>
      </w:tr>
      <w:tr>
        <w:tc>
          <w:tcPr>
            <w:tcW w:type="dxa" w:w="1984"/>
          </w:tcPr>
          <w:p>
            <w:pPr>
              <w:spacing w:line="240" w:lineRule="auto" w:after="40" w:before="40"/>
              <w:ind w:firstLine="0" w:left="0"/>
            </w:pPr>
            <w:r/>
            <w:r>
              <w:rPr>
                <w:rFonts w:ascii="Times New Roman" w:hAnsi="Times New Roman"/>
                <w:sz w:val="20"/>
              </w:rPr>
              <w:t>2. Activar el canal de retroalimentación entre tiendas</w:t>
            </w:r>
          </w:p>
        </w:tc>
        <w:tc>
          <w:tcPr>
            <w:tcW w:type="dxa" w:w="1587"/>
          </w:tcPr>
          <w:p>
            <w:pPr>
              <w:spacing w:line="240" w:lineRule="auto" w:after="40" w:before="40"/>
              <w:ind w:firstLine="0" w:left="0"/>
            </w:pPr>
            <w:r/>
            <w:r>
              <w:rPr>
                <w:rFonts w:ascii="Times New Roman" w:hAnsi="Times New Roman"/>
                <w:sz w:val="20"/>
              </w:rPr>
              <w:t>Responsable de operaciones</w:t>
            </w:r>
          </w:p>
        </w:tc>
        <w:tc>
          <w:tcPr>
            <w:tcW w:type="dxa" w:w="1701"/>
          </w:tcPr>
          <w:p>
            <w:pPr>
              <w:spacing w:line="240" w:lineRule="auto" w:after="40" w:before="40"/>
              <w:ind w:firstLine="0" w:left="0"/>
            </w:pPr>
            <w:r/>
            <w:r>
              <w:rPr>
                <w:rFonts w:ascii="Times New Roman" w:hAnsi="Times New Roman"/>
                <w:sz w:val="20"/>
              </w:rPr>
              <w:t>Primera sesión en reunión de noviembre; evaluación al día 90.</w:t>
            </w:r>
          </w:p>
        </w:tc>
        <w:tc>
          <w:tcPr>
            <w:tcW w:type="dxa" w:w="1871"/>
          </w:tcPr>
          <w:p>
            <w:pPr>
              <w:spacing w:line="240" w:lineRule="auto" w:after="40" w:before="40"/>
              <w:ind w:firstLine="0" w:left="0"/>
            </w:pPr>
            <w:r/>
            <w:r>
              <w:rPr>
                <w:rFonts w:ascii="Times New Roman" w:hAnsi="Times New Roman"/>
                <w:sz w:val="20"/>
              </w:rPr>
              <w:t>N.º de tiendas que reportan y N.º de ajustes decididos a partir de los reportes.</w:t>
            </w:r>
          </w:p>
        </w:tc>
        <w:tc>
          <w:tcPr>
            <w:tcW w:type="dxa" w:w="2211"/>
          </w:tcPr>
          <w:p>
            <w:pPr>
              <w:spacing w:line="240" w:lineRule="auto" w:after="40" w:before="40"/>
              <w:ind w:firstLine="0" w:left="0"/>
            </w:pPr>
            <w:r/>
            <w:r>
              <w:rPr>
                <w:rFonts w:ascii="Times New Roman" w:hAnsi="Times New Roman"/>
                <w:sz w:val="20"/>
              </w:rPr>
              <w:t>Que el canal se vuelva un espacio solo para quejarse sin consecuencia — se mitiga exigiendo una decisión explícita en cada reunión.</w:t>
            </w:r>
          </w:p>
        </w:tc>
      </w:tr>
    </w:tbl>
    <w:p>
      <w:pPr>
        <w:spacing w:after="0"/>
      </w:pPr>
    </w:p>
    <w:p>
      <w:r>
        <w:rPr>
          <w:b w:val="0"/>
          <w:i w:val="0"/>
        </w:rPr>
        <w:t>Experimento pequeño, sin prometer resultados no medidos: comparar durante 60 días el nivel reportado de conversación espontánea en la tienda de Luis antes y después del piso común — sin asumir de antemano que volverá al nivel previo al guion único, porque todavía no se sabe cuánto de esa reducción se debe al guion en sí y cuánto a otros factores no documentados en el dossier.</w:t>
      </w:r>
    </w:p>
    <w:p>
      <w:r>
        <w:rPr>
          <w:b w:val="0"/>
          <w:i w:val="0"/>
        </w:rPr>
        <w:t>Qué se profundizaría en el ACA 2: cómo conducir la conversación si, tras la primera revisión, Clara prefiere volver al guion único argumentando consistencia de marca sobre las otras 11 tiendas; y cómo decidir, con la evidencia del canal de retroalimentación, si conviene construir las variantes de guion de la Alternativa 3 o si el piso común por sí solo es suficiente.</w:t>
      </w:r>
    </w:p>
    <w:p>
      <w:r>
        <w:rPr>
          <w:b w:val="0"/>
          <w:i w:val="0"/>
        </w:rPr>
        <w:t>Gobernanza del piloto: el responsable de operaciones revisa los dos indicadores (conversación espontánea y reportes del canal) en la misma reunión mensual, no en reportes separados — así ambos mecanismos se refuerzan en vez de competir por atención. Si al día 60 la tienda de Luis no muestra mejora, la acción no es presionar para que se siga el guion con más rigor — eso reproduciría el problema diagnosticado — sino revisar si el piso común definido realmente deja suficiente espacio para la conversación.</w:t>
      </w:r>
    </w:p>
    <w:p>
      <w:r>
        <w:br w:type="page"/>
      </w:r>
    </w:p>
    <w:p>
      <w:pPr>
        <w:pStyle w:val="Heading1"/>
      </w:pPr>
      <w:r>
        <w:t>Referencias</w:t>
      </w:r>
    </w:p>
    <w:p>
      <w:pPr>
        <w:ind w:left="720" w:hanging="720"/>
      </w:pPr>
      <w:r>
        <w:t>Victorino, L., Verma, R., &amp; Wardell, D. G. (2013). Script usage in standardized and customized service encounters: Implications for perceived service quality. Production and Operations Management, 22(3), 518–534. https://doi.org/10.1111/j.1937-5956.2012.01382.x</w:t>
      </w:r>
    </w:p>
    <w:p>
      <w:r>
        <w:br w:type="page"/>
      </w:r>
    </w:p>
    <w:p>
      <w:pPr>
        <w:pStyle w:val="Heading1"/>
      </w:pPr>
      <w:r>
        <w:t>Anexo 1. Resumen Analítico de Estudio (RAE)</w:t>
      </w:r>
    </w:p>
    <w:tbl>
      <w:tblPr>
        <w:tblStyle w:val="LightGrid-Accent1"/>
        <w:tblW w:type="auto" w:w="0"/>
        <w:jc w:val="center"/>
        <w:tblLayout w:type="fixed"/>
        <w:tblLook w:firstColumn="1" w:firstRow="1" w:lastColumn="0" w:lastRow="0" w:noHBand="0" w:noVBand="1" w:val="04A0"/>
      </w:tblPr>
      <w:tblGrid>
        <w:gridCol w:w="4680"/>
        <w:gridCol w:w="4680"/>
      </w:tblGrid>
      <w:tr>
        <w:tc>
          <w:tcPr>
            <w:tcW w:type="dxa" w:w="1984"/>
          </w:tcPr>
          <w:p>
            <w:pPr>
              <w:spacing w:line="240" w:lineRule="auto" w:after="40" w:before="40"/>
              <w:ind w:firstLine="0" w:left="0"/>
            </w:pPr>
            <w:r/>
            <w:r>
              <w:rPr>
                <w:rFonts w:ascii="Times New Roman" w:hAnsi="Times New Roman"/>
                <w:b/>
                <w:sz w:val="20"/>
              </w:rPr>
              <w:t>Campo</w:t>
            </w:r>
          </w:p>
        </w:tc>
        <w:tc>
          <w:tcPr>
            <w:tcW w:type="dxa" w:w="7087"/>
          </w:tcPr>
          <w:p>
            <w:pPr>
              <w:spacing w:line="240" w:lineRule="auto" w:after="40" w:before="40"/>
              <w:ind w:firstLine="0" w:left="0"/>
            </w:pPr>
            <w:r/>
            <w:r>
              <w:rPr>
                <w:rFonts w:ascii="Times New Roman" w:hAnsi="Times New Roman"/>
                <w:b/>
                <w:sz w:val="20"/>
              </w:rPr>
              <w:t>Contenido</w:t>
            </w:r>
          </w:p>
        </w:tc>
      </w:tr>
      <w:tr>
        <w:tc>
          <w:tcPr>
            <w:tcW w:type="dxa" w:w="1984"/>
          </w:tcPr>
          <w:p>
            <w:pPr>
              <w:spacing w:line="240" w:lineRule="auto" w:after="40" w:before="40"/>
              <w:ind w:firstLine="0" w:left="0"/>
            </w:pPr>
            <w:r/>
            <w:r>
              <w:rPr>
                <w:rFonts w:ascii="Times New Roman" w:hAnsi="Times New Roman"/>
                <w:sz w:val="20"/>
              </w:rPr>
              <w:t>1. Identificación</w:t>
            </w:r>
          </w:p>
        </w:tc>
        <w:tc>
          <w:tcPr>
            <w:tcW w:type="dxa" w:w="7087"/>
          </w:tcPr>
          <w:p>
            <w:pPr>
              <w:spacing w:line="240" w:lineRule="auto" w:after="40" w:before="40"/>
              <w:ind w:firstLine="0" w:left="0"/>
            </w:pPr>
            <w:r/>
            <w:r>
              <w:rPr>
                <w:rFonts w:ascii="Times New Roman" w:hAnsi="Times New Roman"/>
                <w:sz w:val="20"/>
              </w:rPr>
              <w:t>Victorino, L., Verma, R., &amp; Wardell, D. G. (2013). Script usage in standardized and customized service encounters: Implications for perceived service quality. Production and Operations Management, 22(3), 518–534. https://doi.org/10.1111/j.1937-5956.2012.01382.x. Artículo de investigación empírica.</w:t>
            </w:r>
          </w:p>
        </w:tc>
      </w:tr>
      <w:tr>
        <w:tc>
          <w:tcPr>
            <w:tcW w:type="dxa" w:w="1984"/>
          </w:tcPr>
          <w:p>
            <w:pPr>
              <w:spacing w:line="240" w:lineRule="auto" w:after="40" w:before="40"/>
              <w:ind w:firstLine="0" w:left="0"/>
            </w:pPr>
            <w:r/>
            <w:r>
              <w:rPr>
                <w:rFonts w:ascii="Times New Roman" w:hAnsi="Times New Roman"/>
                <w:sz w:val="20"/>
              </w:rPr>
              <w:t>2. Pregunta del estudio</w:t>
            </w:r>
          </w:p>
        </w:tc>
        <w:tc>
          <w:tcPr>
            <w:tcW w:type="dxa" w:w="7087"/>
          </w:tcPr>
          <w:p>
            <w:pPr>
              <w:spacing w:line="240" w:lineRule="auto" w:after="40" w:before="40"/>
              <w:ind w:firstLine="0" w:left="0"/>
            </w:pPr>
            <w:r/>
            <w:r>
              <w:rPr>
                <w:rFonts w:ascii="Times New Roman" w:hAnsi="Times New Roman"/>
                <w:sz w:val="20"/>
              </w:rPr>
              <w:t>¿Cómo afecta el nivel de guion verbal (scripting) a la calidad de servicio percibida por el cliente, y ese efecto es igual en encuentros estandarizados que en personalizados?</w:t>
            </w:r>
          </w:p>
        </w:tc>
      </w:tr>
      <w:tr>
        <w:tc>
          <w:tcPr>
            <w:tcW w:type="dxa" w:w="1984"/>
          </w:tcPr>
          <w:p>
            <w:pPr>
              <w:spacing w:line="240" w:lineRule="auto" w:after="40" w:before="40"/>
              <w:ind w:firstLine="0" w:left="0"/>
            </w:pPr>
            <w:r/>
            <w:r>
              <w:rPr>
                <w:rFonts w:ascii="Times New Roman" w:hAnsi="Times New Roman"/>
                <w:sz w:val="20"/>
              </w:rPr>
              <w:t>3. Metodología</w:t>
            </w:r>
          </w:p>
        </w:tc>
        <w:tc>
          <w:tcPr>
            <w:tcW w:type="dxa" w:w="7087"/>
          </w:tcPr>
          <w:p>
            <w:pPr>
              <w:spacing w:line="240" w:lineRule="auto" w:after="40" w:before="40"/>
              <w:ind w:firstLine="0" w:left="0"/>
            </w:pPr>
            <w:r/>
            <w:r>
              <w:rPr>
                <w:rFonts w:ascii="Times New Roman" w:hAnsi="Times New Roman"/>
                <w:sz w:val="20"/>
              </w:rPr>
              <w:t>Experimento basado en video, manipulando el nivel de guion verbal en encuentros de servicio estandarizados y personalizados, midiendo la calidad de servicio percibida por los participantes.</w:t>
            </w:r>
          </w:p>
        </w:tc>
      </w:tr>
      <w:tr>
        <w:tc>
          <w:tcPr>
            <w:tcW w:type="dxa" w:w="1984"/>
          </w:tcPr>
          <w:p>
            <w:pPr>
              <w:spacing w:line="240" w:lineRule="auto" w:after="40" w:before="40"/>
              <w:ind w:firstLine="0" w:left="0"/>
            </w:pPr>
            <w:r/>
            <w:r>
              <w:rPr>
                <w:rFonts w:ascii="Times New Roman" w:hAnsi="Times New Roman"/>
                <w:sz w:val="20"/>
              </w:rPr>
              <w:t>4. Hallazgos</w:t>
            </w:r>
          </w:p>
        </w:tc>
        <w:tc>
          <w:tcPr>
            <w:tcW w:type="dxa" w:w="7087"/>
          </w:tcPr>
          <w:p>
            <w:pPr>
              <w:spacing w:line="240" w:lineRule="auto" w:after="40" w:before="40"/>
              <w:ind w:firstLine="0" w:left="0"/>
            </w:pPr>
            <w:r/>
            <w:r>
              <w:rPr>
                <w:rFonts w:ascii="Times New Roman" w:hAnsi="Times New Roman"/>
                <w:sz w:val="20"/>
              </w:rPr>
              <w:t>(a) En encuentros estandarizados, un mayor nivel de guion verbal no afectó significativamente la calidad percibida. (b) En encuentros personalizados, un guion predominantemente verbal sí afectó negativamente la calidad percibida — el resultado más bajo se dio ahí. Limitación advertida por el equipo: es un experimento en video, no interacciones reales; trasladar el umbral exacto a tiendas de barrio exige cautela.</w:t>
            </w:r>
          </w:p>
        </w:tc>
      </w:tr>
      <w:tr>
        <w:tc>
          <w:tcPr>
            <w:tcW w:type="dxa" w:w="1984"/>
          </w:tcPr>
          <w:p>
            <w:pPr>
              <w:spacing w:line="240" w:lineRule="auto" w:after="40" w:before="40"/>
              <w:ind w:firstLine="0" w:left="0"/>
            </w:pPr>
            <w:r/>
            <w:r>
              <w:rPr>
                <w:rFonts w:ascii="Times New Roman" w:hAnsi="Times New Roman"/>
                <w:sz w:val="20"/>
              </w:rPr>
              <w:t>5. Aplicación al caso</w:t>
            </w:r>
          </w:p>
        </w:tc>
        <w:tc>
          <w:tcPr>
            <w:tcW w:type="dxa" w:w="7087"/>
          </w:tcPr>
          <w:p>
            <w:pPr>
              <w:spacing w:line="240" w:lineRule="auto" w:after="40" w:before="40"/>
              <w:ind w:firstLine="0" w:left="0"/>
            </w:pPr>
            <w:r/>
            <w:r>
              <w:rPr>
                <w:rFonts w:ascii="Times New Roman" w:hAnsi="Times New Roman"/>
                <w:sz w:val="20"/>
              </w:rPr>
              <w:t>Usado explícitamente en la sección 3: la tienda de Luis (encuentro más personalizado) corresponde al tipo de situación donde el guion causa más daño; las tiendas donde el guion es útil probablemente operan encuentros más estandarizados.</w:t>
            </w:r>
          </w:p>
        </w:tc>
      </w:tr>
      <w:tr>
        <w:tc>
          <w:tcPr>
            <w:tcW w:type="dxa" w:w="1984"/>
          </w:tcPr>
          <w:p>
            <w:pPr>
              <w:spacing w:line="240" w:lineRule="auto" w:after="40" w:before="40"/>
              <w:ind w:firstLine="0" w:left="0"/>
            </w:pPr>
            <w:r/>
            <w:r>
              <w:rPr>
                <w:rFonts w:ascii="Times New Roman" w:hAnsi="Times New Roman"/>
                <w:sz w:val="20"/>
              </w:rPr>
              <w:t>6. Juicio crítico</w:t>
            </w:r>
          </w:p>
        </w:tc>
        <w:tc>
          <w:tcPr>
            <w:tcW w:type="dxa" w:w="7087"/>
          </w:tcPr>
          <w:p>
            <w:pPr>
              <w:spacing w:line="240" w:lineRule="auto" w:after="40" w:before="40"/>
              <w:ind w:firstLine="0" w:left="0"/>
            </w:pPr>
            <w:r/>
            <w:r>
              <w:rPr>
                <w:rFonts w:ascii="Times New Roman" w:hAnsi="Times New Roman"/>
                <w:sz w:val="20"/>
              </w:rPr>
              <w:t>El estudio mide percepción en un entorno experimental controlado, no en una tienda real con clientes recurrentes; el hallazgo conceptual es trasladable, pero no los valores exactos de “cuánto” guion es tolerable — eso requiere la evidencia local del canal de retroalimentación (Alternativa 2), no una cifra del estudio.</w:t>
            </w:r>
          </w:p>
        </w:tc>
      </w:tr>
    </w:tbl>
    <w:p>
      <w:pPr>
        <w:spacing w:after="0"/>
      </w:pPr>
    </w:p>
    <w:p>
      <w:r>
        <w:br w:type="page"/>
      </w:r>
    </w:p>
    <w:p>
      <w:pPr>
        <w:pStyle w:val="Heading1"/>
      </w:pPr>
      <w:r>
        <w:t>Anexo 2. Trazabilidad de los aportes individuales</w:t>
      </w:r>
    </w:p>
    <w:tbl>
      <w:tblPr>
        <w:tblStyle w:val="LightGrid-Accent1"/>
        <w:tblW w:type="auto" w:w="0"/>
        <w:jc w:val="center"/>
        <w:tblLayout w:type="fixed"/>
        <w:tblLook w:firstColumn="1" w:firstRow="1" w:lastColumn="0" w:lastRow="0" w:noHBand="0" w:noVBand="1" w:val="04A0"/>
      </w:tblPr>
      <w:tblGrid>
        <w:gridCol w:w="2340"/>
        <w:gridCol w:w="2340"/>
        <w:gridCol w:w="2340"/>
        <w:gridCol w:w="2340"/>
      </w:tblGrid>
      <w:tr>
        <w:tc>
          <w:tcPr>
            <w:tcW w:type="dxa" w:w="1701"/>
          </w:tcPr>
          <w:p>
            <w:pPr>
              <w:spacing w:line="240" w:lineRule="auto" w:after="40" w:before="40"/>
              <w:ind w:firstLine="0" w:left="0"/>
            </w:pPr>
            <w:r/>
            <w:r>
              <w:rPr>
                <w:rFonts w:ascii="Times New Roman" w:hAnsi="Times New Roman"/>
                <w:b/>
                <w:sz w:val="20"/>
              </w:rPr>
              <w:t>Integrante</w:t>
            </w:r>
          </w:p>
        </w:tc>
        <w:tc>
          <w:tcPr>
            <w:tcW w:type="dxa" w:w="2835"/>
          </w:tcPr>
          <w:p>
            <w:pPr>
              <w:spacing w:line="240" w:lineRule="auto" w:after="40" w:before="40"/>
              <w:ind w:firstLine="0" w:left="0"/>
            </w:pPr>
            <w:r/>
            <w:r>
              <w:rPr>
                <w:rFonts w:ascii="Times New Roman" w:hAnsi="Times New Roman"/>
                <w:b/>
                <w:sz w:val="20"/>
              </w:rPr>
              <w:t>Aporte específico</w:t>
            </w:r>
          </w:p>
        </w:tc>
        <w:tc>
          <w:tcPr>
            <w:tcW w:type="dxa" w:w="2551"/>
          </w:tcPr>
          <w:p>
            <w:pPr>
              <w:spacing w:line="240" w:lineRule="auto" w:after="40" w:before="40"/>
              <w:ind w:firstLine="0" w:left="0"/>
            </w:pPr>
            <w:r/>
            <w:r>
              <w:rPr>
                <w:rFonts w:ascii="Times New Roman" w:hAnsi="Times New Roman"/>
                <w:b/>
                <w:sz w:val="20"/>
              </w:rPr>
              <w:t>Decisión que defendió</w:t>
            </w:r>
          </w:p>
        </w:tc>
        <w:tc>
          <w:tcPr>
            <w:tcW w:type="dxa" w:w="1984"/>
          </w:tcPr>
          <w:p>
            <w:pPr>
              <w:spacing w:line="240" w:lineRule="auto" w:after="40" w:before="40"/>
              <w:ind w:firstLine="0" w:left="0"/>
            </w:pPr>
            <w:r/>
            <w:r>
              <w:rPr>
                <w:rFonts w:ascii="Times New Roman" w:hAnsi="Times New Roman"/>
                <w:b/>
                <w:sz w:val="20"/>
              </w:rPr>
              <w:t>Aprendizaje o límite</w:t>
            </w:r>
          </w:p>
        </w:tc>
      </w:tr>
      <w:tr>
        <w:tc>
          <w:tcPr>
            <w:tcW w:type="dxa" w:w="1701"/>
          </w:tcPr>
          <w:p>
            <w:pPr>
              <w:spacing w:line="240" w:lineRule="auto" w:after="40" w:before="40"/>
              <w:ind w:firstLine="0" w:left="0"/>
            </w:pPr>
            <w:r/>
            <w:r>
              <w:rPr>
                <w:rFonts w:ascii="Times New Roman" w:hAnsi="Times New Roman"/>
                <w:sz w:val="20"/>
              </w:rPr>
              <w:t>Jhoan Jesus Cardozo Gelvis</w:t>
            </w:r>
          </w:p>
        </w:tc>
        <w:tc>
          <w:tcPr>
            <w:tcW w:type="dxa" w:w="2835"/>
          </w:tcPr>
          <w:p>
            <w:pPr>
              <w:spacing w:line="240" w:lineRule="auto" w:after="40" w:before="40"/>
              <w:ind w:firstLine="0" w:left="0"/>
            </w:pPr>
            <w:r/>
            <w:r>
              <w:rPr>
                <w:rFonts w:ascii="Times New Roman" w:hAnsi="Times New Roman"/>
                <w:sz w:val="20"/>
              </w:rPr>
              <w:t>Desarrolló la sección 1 (Comprender el caso): clasificó los cinco hechos del dossier en documentado/testimonio/vacío de información y construyó la matriz hecho-apreciación-emoción-conducta para Luis y el encargado de la tienda donde el guion resultó útil.</w:t>
            </w:r>
          </w:p>
        </w:tc>
        <w:tc>
          <w:tcPr>
            <w:tcW w:type="dxa" w:w="2551"/>
          </w:tcPr>
          <w:p>
            <w:pPr>
              <w:spacing w:line="240" w:lineRule="auto" w:after="40" w:before="40"/>
              <w:ind w:firstLine="0" w:left="0"/>
            </w:pPr>
            <w:r/>
            <w:r>
              <w:rPr>
                <w:rFonts w:ascii="Times New Roman" w:hAnsi="Times New Roman"/>
                <w:sz w:val="20"/>
              </w:rPr>
              <w:t>Defendió que el problema no se resuelve solo con el guion en sí, sino con que nadie escuchó antes la diferencia de resultados entre tiendas (dato de la tarjeta B1: una tienda bajó su conversación espontánea, otras dos lo consideran útil).</w:t>
            </w:r>
          </w:p>
        </w:tc>
        <w:tc>
          <w:tcPr>
            <w:tcW w:type="dxa" w:w="1984"/>
          </w:tcPr>
          <w:p>
            <w:pPr>
              <w:spacing w:line="240" w:lineRule="auto" w:after="40" w:before="40"/>
              <w:ind w:firstLine="0" w:left="0"/>
            </w:pPr>
            <w:r/>
            <w:r>
              <w:rPr>
                <w:rFonts w:ascii="Times New Roman" w:hAnsi="Times New Roman"/>
                <w:sz w:val="20"/>
              </w:rPr>
              <w:t>Aprendió que separar hecho de hipótesis evita diagnosticar con suposiciones sobre lo que siente una persona sin tener evidencia de ello.</w:t>
            </w:r>
          </w:p>
        </w:tc>
      </w:tr>
      <w:tr>
        <w:tc>
          <w:tcPr>
            <w:tcW w:type="dxa" w:w="1701"/>
          </w:tcPr>
          <w:p>
            <w:pPr>
              <w:spacing w:line="240" w:lineRule="auto" w:after="40" w:before="40"/>
              <w:ind w:firstLine="0" w:left="0"/>
            </w:pPr>
            <w:r/>
            <w:r>
              <w:rPr>
                <w:rFonts w:ascii="Times New Roman" w:hAnsi="Times New Roman"/>
                <w:sz w:val="20"/>
              </w:rPr>
              <w:t>Jonathan Adonay Rubio Jimenez</w:t>
            </w:r>
          </w:p>
        </w:tc>
        <w:tc>
          <w:tcPr>
            <w:tcW w:type="dxa" w:w="2835"/>
          </w:tcPr>
          <w:p>
            <w:pPr>
              <w:spacing w:line="240" w:lineRule="auto" w:after="40" w:before="40"/>
              <w:ind w:firstLine="0" w:left="0"/>
            </w:pPr>
            <w:r/>
            <w:r>
              <w:rPr>
                <w:rFonts w:ascii="Times New Roman" w:hAnsi="Times New Roman"/>
                <w:sz w:val="20"/>
              </w:rPr>
              <w:t>Desarrolló la sección 2 (alternativas) y el Anexo 1 (RAE): comparó las tres alternativas con los cuatro filtros de creatividad estratégica y respaldó la elección con un artículo académico real.</w:t>
            </w:r>
          </w:p>
        </w:tc>
        <w:tc>
          <w:tcPr>
            <w:tcW w:type="dxa" w:w="2551"/>
          </w:tcPr>
          <w:p>
            <w:pPr>
              <w:spacing w:line="240" w:lineRule="auto" w:after="40" w:before="40"/>
              <w:ind w:firstLine="0" w:left="0"/>
            </w:pPr>
            <w:r/>
            <w:r>
              <w:rPr>
                <w:rFonts w:ascii="Times New Roman" w:hAnsi="Times New Roman"/>
                <w:sz w:val="20"/>
              </w:rPr>
              <w:t>Defendió priorizar el piso común (Alternativa 1) antes que segmentar el guion de inmediato (Alternativa 3), apoyado en el hallazgo de Victorino et al. (2013) sobre encuentros personalizados vs. estandarizados, aplicado a la tienda de Luis (B-F2).</w:t>
            </w:r>
          </w:p>
        </w:tc>
        <w:tc>
          <w:tcPr>
            <w:tcW w:type="dxa" w:w="1984"/>
          </w:tcPr>
          <w:p>
            <w:pPr>
              <w:spacing w:line="240" w:lineRule="auto" w:after="40" w:before="40"/>
              <w:ind w:firstLine="0" w:left="0"/>
            </w:pPr>
            <w:r/>
            <w:r>
              <w:rPr>
                <w:rFonts w:ascii="Times New Roman" w:hAnsi="Times New Roman"/>
                <w:sz w:val="20"/>
              </w:rPr>
              <w:t>Aprendió que una fuente académica verificable cambia la solidez de una recomendación frente a basarse solo en intuición.</w:t>
            </w:r>
          </w:p>
        </w:tc>
      </w:tr>
      <w:tr>
        <w:tc>
          <w:tcPr>
            <w:tcW w:type="dxa" w:w="1701"/>
          </w:tcPr>
          <w:p>
            <w:pPr>
              <w:spacing w:line="240" w:lineRule="auto" w:after="40" w:before="40"/>
              <w:ind w:firstLine="0" w:left="0"/>
            </w:pPr>
            <w:r/>
            <w:r>
              <w:rPr>
                <w:rFonts w:ascii="Times New Roman" w:hAnsi="Times New Roman"/>
                <w:sz w:val="20"/>
              </w:rPr>
              <w:t>Ivan Dario Zarate Rincon</w:t>
            </w:r>
          </w:p>
        </w:tc>
        <w:tc>
          <w:tcPr>
            <w:tcW w:type="dxa" w:w="2835"/>
          </w:tcPr>
          <w:p>
            <w:pPr>
              <w:spacing w:line="240" w:lineRule="auto" w:after="40" w:before="40"/>
              <w:ind w:firstLine="0" w:left="0"/>
            </w:pPr>
            <w:r/>
            <w:r>
              <w:rPr>
                <w:rFonts w:ascii="Times New Roman" w:hAnsi="Times New Roman"/>
                <w:sz w:val="20"/>
              </w:rPr>
              <w:t>Desarrolló las secciones 3, 4 y 5: el guion de conversación de cuatro movimientos, los acuerdos de coordinación entre tiendas y la recomendación gerencial con sus acciones priorizadas.</w:t>
            </w:r>
          </w:p>
        </w:tc>
        <w:tc>
          <w:tcPr>
            <w:tcW w:type="dxa" w:w="2551"/>
          </w:tcPr>
          <w:p>
            <w:pPr>
              <w:spacing w:line="240" w:lineRule="auto" w:after="40" w:before="40"/>
              <w:ind w:firstLine="0" w:left="0"/>
            </w:pPr>
            <w:r/>
            <w:r>
              <w:rPr>
                <w:rFonts w:ascii="Times New Roman" w:hAnsi="Times New Roman"/>
                <w:sz w:val="20"/>
              </w:rPr>
              <w:t>Defendió que la conducta a corregir era la falta de escucha de Clara antes de generalizar el guion (B-F2), no el contenido del guion en sí mismo.</w:t>
            </w:r>
          </w:p>
        </w:tc>
        <w:tc>
          <w:tcPr>
            <w:tcW w:type="dxa" w:w="1984"/>
          </w:tcPr>
          <w:p>
            <w:pPr>
              <w:spacing w:line="240" w:lineRule="auto" w:after="40" w:before="40"/>
              <w:ind w:firstLine="0" w:left="0"/>
            </w:pPr>
            <w:r/>
            <w:r>
              <w:rPr>
                <w:rFonts w:ascii="Times New Roman" w:hAnsi="Times New Roman"/>
                <w:sz w:val="20"/>
              </w:rPr>
              <w:t>Aprendió que separar asertividad de empatía en una conversación difícil evita tanto imponer una decisión como evadir el tema.</w:t>
            </w:r>
          </w:p>
        </w:tc>
      </w:tr>
    </w:tbl>
    <w:p>
      <w:pPr>
        <w:spacing w:after="0"/>
      </w:pPr>
    </w:p>
    <w:p>
      <w:r>
        <w:br w:type="page"/>
      </w:r>
    </w:p>
    <w:p>
      <w:pPr>
        <w:pStyle w:val="Heading1"/>
      </w:pPr>
      <w:r>
        <w:t>Declaración de uso de inteligencia artificial generativa</w:t>
      </w:r>
    </w:p>
    <w:p>
      <w:r>
        <w:rPr>
          <w:b w:val="0"/>
          <w:i w:val="0"/>
        </w:rPr>
        <w:t>Herramienta usada como apoyo de referencia: Claude (Anthropic). Para qué se usó: ideación inicial sobre el diagnóstico y las alternativas, organización del texto, corrección de estilo, contraste de las tres alternativas entre sí y búsqueda inicial de literatura para el Anexo 1. El equipo revisó, discutió y asumió como propio cada elemento del diagnóstico, las alternativas, el guion de conversación, los acuerdos de coordinación y la recomendación final antes de entregar. Qué se verificó: que el artículo citado (DOI incluido) fuera accesible y pertinente, y que los datos citados del dossier (B-F1 a B-F8 y el dato de la tarjeta B1) correspondieran exactamente al enunciado.</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