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05" w:rsidRDefault="004B7E05" w:rsidP="00EC5802">
      <w:pPr>
        <w:spacing w:line="480" w:lineRule="auto"/>
        <w:jc w:val="both"/>
        <w:rPr>
          <w:rFonts w:ascii="Arial" w:hAnsi="Arial" w:cs="Arial"/>
          <w:b/>
        </w:rPr>
      </w:pPr>
      <w:r>
        <w:rPr>
          <w:rFonts w:ascii="Arial" w:hAnsi="Arial" w:cs="Arial"/>
          <w:b/>
        </w:rPr>
        <w:t>KEY RESOURCES TABLE</w:t>
      </w:r>
    </w:p>
    <w:p w:rsidR="004B7E05" w:rsidRDefault="00262962" w:rsidP="00EC5802">
      <w:pPr>
        <w:spacing w:line="480" w:lineRule="auto"/>
        <w:jc w:val="both"/>
        <w:rPr>
          <w:rFonts w:ascii="Arial" w:hAnsi="Arial" w:cs="Arial"/>
          <w:b/>
        </w:rPr>
      </w:pPr>
      <w:r>
        <w:rPr>
          <w:rFonts w:ascii="Arial" w:hAnsi="Arial" w:cs="Arial"/>
        </w:rPr>
        <w:t xml:space="preserve">Code for training CRF models can be found at </w:t>
      </w:r>
      <w:hyperlink r:id="rId4" w:history="1">
        <w:r w:rsidRPr="00761A55">
          <w:rPr>
            <w:rStyle w:val="Hyperlink"/>
            <w:rFonts w:ascii="Arial" w:hAnsi="Arial" w:cs="Arial"/>
          </w:rPr>
          <w:t>https://github.com/kuitang/fwmatch-public</w:t>
        </w:r>
      </w:hyperlink>
      <w:r>
        <w:rPr>
          <w:rFonts w:ascii="Arial" w:hAnsi="Arial" w:cs="Arial"/>
        </w:rPr>
        <w:t>.</w:t>
      </w:r>
      <w:bookmarkStart w:id="0" w:name="_GoBack"/>
      <w:bookmarkEnd w:id="0"/>
    </w:p>
    <w:p w:rsidR="004B7E05" w:rsidRDefault="004B7E05" w:rsidP="00EC5802">
      <w:pPr>
        <w:spacing w:line="480" w:lineRule="auto"/>
        <w:jc w:val="both"/>
        <w:rPr>
          <w:rFonts w:ascii="Arial" w:hAnsi="Arial" w:cs="Arial"/>
          <w:b/>
        </w:rPr>
      </w:pPr>
    </w:p>
    <w:p w:rsidR="00125AEE" w:rsidRPr="00125AEE" w:rsidRDefault="00125AEE" w:rsidP="00EC5802">
      <w:pPr>
        <w:spacing w:line="480" w:lineRule="auto"/>
        <w:jc w:val="both"/>
        <w:rPr>
          <w:rFonts w:ascii="Arial" w:hAnsi="Arial" w:cs="Arial"/>
          <w:b/>
        </w:rPr>
      </w:pPr>
      <w:r w:rsidRPr="00125AEE">
        <w:rPr>
          <w:rFonts w:ascii="Arial" w:hAnsi="Arial" w:cs="Arial"/>
          <w:b/>
        </w:rPr>
        <w:t>CONTACT FOR REAGENT AND RESOURCE SHARING</w:t>
      </w:r>
    </w:p>
    <w:p w:rsidR="00125AEE" w:rsidRDefault="00125AEE" w:rsidP="00EC5802">
      <w:pPr>
        <w:spacing w:line="480" w:lineRule="auto"/>
        <w:jc w:val="both"/>
        <w:rPr>
          <w:rFonts w:ascii="Arial" w:hAnsi="Arial" w:cs="Arial"/>
        </w:rPr>
      </w:pPr>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hyperlink r:id="rId5" w:history="1">
        <w:r w:rsidR="00E04B59" w:rsidRPr="00761A55">
          <w:rPr>
            <w:rStyle w:val="Hyperlink"/>
            <w:rFonts w:ascii="Arial" w:hAnsi="Arial" w:cs="Arial"/>
          </w:rPr>
          <w:t>lc2998@columbia.edu</w:t>
        </w:r>
      </w:hyperlink>
      <w:r w:rsidRPr="00125AEE">
        <w:rPr>
          <w:rFonts w:ascii="Arial" w:hAnsi="Arial" w:cs="Arial"/>
        </w:rPr>
        <w:t>).</w:t>
      </w:r>
    </w:p>
    <w:p w:rsidR="00E04B59" w:rsidRDefault="00E04B59" w:rsidP="00EC5802">
      <w:pPr>
        <w:spacing w:line="480" w:lineRule="auto"/>
        <w:jc w:val="both"/>
        <w:rPr>
          <w:rFonts w:ascii="Arial" w:hAnsi="Arial" w:cs="Arial"/>
          <w:b/>
        </w:rPr>
      </w:pPr>
    </w:p>
    <w:p w:rsidR="00E04B59" w:rsidRDefault="00E04B59" w:rsidP="00EC5802">
      <w:pPr>
        <w:spacing w:line="480" w:lineRule="auto"/>
        <w:jc w:val="both"/>
        <w:rPr>
          <w:rFonts w:ascii="Arial" w:hAnsi="Arial" w:cs="Arial"/>
          <w:b/>
        </w:rPr>
      </w:pPr>
      <w:r w:rsidRPr="00E04B59">
        <w:rPr>
          <w:rFonts w:ascii="Arial" w:hAnsi="Arial" w:cs="Arial"/>
          <w:b/>
        </w:rPr>
        <w:t>EXPERIMENTAL MODELS AND SUBJECT DETAILS</w:t>
      </w:r>
    </w:p>
    <w:p w:rsidR="00E04B59" w:rsidRDefault="00E04B59" w:rsidP="00EC5802">
      <w:pPr>
        <w:spacing w:line="480" w:lineRule="auto"/>
        <w:jc w:val="both"/>
        <w:rPr>
          <w:rFonts w:ascii="Arial" w:hAnsi="Arial" w:cs="Arial"/>
          <w:b/>
        </w:rPr>
      </w:pPr>
    </w:p>
    <w:p w:rsidR="00EC2E70" w:rsidRDefault="00EC2E70" w:rsidP="00EC5802">
      <w:pPr>
        <w:spacing w:line="480" w:lineRule="auto"/>
        <w:jc w:val="both"/>
        <w:rPr>
          <w:rFonts w:ascii="Arial" w:hAnsi="Arial" w:cs="Arial"/>
          <w:b/>
        </w:rPr>
      </w:pPr>
    </w:p>
    <w:p w:rsidR="00E04B59" w:rsidRPr="00E04B59" w:rsidRDefault="00E04B59" w:rsidP="00EC5802">
      <w:pPr>
        <w:spacing w:line="480" w:lineRule="auto"/>
        <w:jc w:val="both"/>
        <w:rPr>
          <w:rFonts w:ascii="Arial" w:hAnsi="Arial" w:cs="Arial"/>
          <w:b/>
        </w:rPr>
      </w:pPr>
      <w:r>
        <w:rPr>
          <w:rFonts w:ascii="Arial" w:hAnsi="Arial" w:cs="Arial"/>
          <w:b/>
        </w:rPr>
        <w:t>METHOD DETAILS</w:t>
      </w:r>
    </w:p>
    <w:p w:rsidR="008A5937" w:rsidRDefault="008A5937" w:rsidP="00EC5802">
      <w:pPr>
        <w:spacing w:line="480" w:lineRule="auto"/>
        <w:jc w:val="both"/>
        <w:rPr>
          <w:rFonts w:ascii="Arial" w:hAnsi="Arial" w:cs="Arial"/>
          <w:b/>
        </w:rPr>
      </w:pPr>
      <w:r>
        <w:rPr>
          <w:rFonts w:ascii="Arial" w:hAnsi="Arial" w:cs="Arial"/>
          <w:b/>
        </w:rPr>
        <w:t>Spike detection</w:t>
      </w:r>
    </w:p>
    <w:p w:rsidR="008A5937" w:rsidRPr="008A5937" w:rsidRDefault="00366A82" w:rsidP="00EC5802">
      <w:pPr>
        <w:spacing w:line="480" w:lineRule="auto"/>
        <w:jc w:val="both"/>
        <w:rPr>
          <w:rFonts w:ascii="Arial" w:hAnsi="Arial" w:cs="Arial"/>
        </w:rPr>
      </w:pPr>
      <w:r>
        <w:rPr>
          <w:rFonts w:ascii="Arial" w:hAnsi="Arial" w:cs="Arial"/>
        </w:rPr>
        <w:t xml:space="preserve">Calcium traces were first processed by subtracting the baseline to get dF/F. Then, dF/F values of the top and bottom 30% were removed to obtain a baseline activity, and a threshold was defined by the mean of the baseline plus 5 times standard deviation of baseline values. </w:t>
      </w:r>
      <w:r w:rsidR="00AA252E">
        <w:rPr>
          <w:rFonts w:ascii="Arial" w:hAnsi="Arial" w:cs="Arial"/>
        </w:rPr>
        <w:t>Spikes were detected as time points where dF/F values are higher than the threshold.</w:t>
      </w:r>
    </w:p>
    <w:p w:rsidR="00EC5802" w:rsidRPr="00A70B22" w:rsidRDefault="00EC5802" w:rsidP="00EC5802">
      <w:pPr>
        <w:spacing w:line="480" w:lineRule="auto"/>
        <w:jc w:val="both"/>
        <w:rPr>
          <w:rFonts w:ascii="Arial" w:hAnsi="Arial" w:cs="Arial"/>
          <w:b/>
        </w:rPr>
      </w:pPr>
      <w:r w:rsidRPr="00A70B22">
        <w:rPr>
          <w:rFonts w:ascii="Arial" w:hAnsi="Arial" w:cs="Arial"/>
          <w:b/>
        </w:rPr>
        <w:t>Conditional Random Fields</w:t>
      </w:r>
    </w:p>
    <w:p w:rsidR="00EC5802" w:rsidRPr="00044B3A" w:rsidRDefault="00EC5802" w:rsidP="00EC5802">
      <w:pPr>
        <w:spacing w:line="480" w:lineRule="auto"/>
        <w:jc w:val="both"/>
        <w:rPr>
          <w:rFonts w:ascii="Arial" w:hAnsi="Arial" w:cs="Arial"/>
        </w:rPr>
      </w:pPr>
      <w:r w:rsidRPr="00044B3A">
        <w:rPr>
          <w:rFonts w:ascii="Arial" w:hAnsi="Arial" w:cs="Arial"/>
        </w:rPr>
        <w:t xml:space="preserve">We construct a conditional random field (CRF) </w:t>
      </w:r>
      <w:r>
        <w:rPr>
          <w:rFonts w:ascii="Arial" w:hAnsi="Arial" w:cs="Arial"/>
        </w:rPr>
        <w:t xml:space="preserve">as previously published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w:t>
      </w:r>
      <w:hyperlink w:anchor="_ENREF_45" w:tooltip="Tang, 2016 #48" w:history="1">
        <w:r>
          <w:rPr>
            <w:rFonts w:ascii="Arial" w:hAnsi="Arial" w:cs="Arial"/>
            <w:noProof/>
          </w:rPr>
          <w:t>Tang et al., 2016</w:t>
        </w:r>
      </w:hyperlink>
      <w:r>
        <w:rPr>
          <w:rFonts w:ascii="Arial" w:hAnsi="Arial" w:cs="Arial"/>
          <w:noProof/>
        </w:rPr>
        <w:t>)</w:t>
      </w:r>
      <w:r>
        <w:rPr>
          <w:rFonts w:ascii="Arial" w:hAnsi="Arial" w:cs="Arial"/>
        </w:rPr>
        <w:fldChar w:fldCharType="end"/>
      </w:r>
      <w:r>
        <w:rPr>
          <w:rFonts w:ascii="Arial" w:hAnsi="Arial" w:cs="Arial"/>
        </w:rPr>
        <w:t>, using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rsidR="00EC5802" w:rsidRPr="00044B3A" w:rsidRDefault="00EC5802" w:rsidP="00EC5802">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1"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1"/>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rsidR="00EC5802" w:rsidRPr="00044B3A" w:rsidRDefault="00EC5802" w:rsidP="00EC5802">
      <w:pPr>
        <w:spacing w:line="480" w:lineRule="auto"/>
        <w:jc w:val="both"/>
        <w:rPr>
          <w:rFonts w:ascii="Arial" w:hAnsi="Arial" w:cs="Arial"/>
        </w:rPr>
      </w:pPr>
      <w:r>
        <w:rPr>
          <w:rFonts w:ascii="Arial" w:hAnsi="Arial" w:cs="Arial"/>
        </w:rPr>
        <w:lastRenderedPageBreak/>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rsidR="00EC5802" w:rsidRPr="00044B3A" w:rsidRDefault="00EC5802" w:rsidP="00EC5802">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rsidR="00EC5802" w:rsidRPr="00044B3A" w:rsidRDefault="00EC5802" w:rsidP="00EC5802">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rsidR="00EC5802" w:rsidRPr="00044B3A" w:rsidRDefault="00EC5802" w:rsidP="00EC5802">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rsidR="00EC5802" w:rsidRDefault="00EC5802" w:rsidP="00EC5802">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Pr>
          <w:rFonts w:ascii="Arial" w:hAnsi="Arial" w:cs="Arial"/>
        </w:rPr>
        <w:fldChar w:fldCharType="begin"/>
      </w:r>
      <w:r>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50" w:tooltip="Yu, 2008 #103" w:history="1">
        <w:r>
          <w:rPr>
            <w:rFonts w:ascii="Arial" w:hAnsi="Arial" w:cs="Arial"/>
            <w:noProof/>
          </w:rPr>
          <w:t>Yu et al., 2008</w:t>
        </w:r>
      </w:hyperlink>
      <w:r>
        <w:rPr>
          <w:rFonts w:ascii="Arial" w:hAnsi="Arial" w:cs="Arial"/>
          <w:noProof/>
        </w:rPr>
        <w:t>)</w:t>
      </w:r>
      <w:r>
        <w:rPr>
          <w:rFonts w:ascii="Arial" w:hAnsi="Arial" w:cs="Arial"/>
        </w:rPr>
        <w:fldChar w:fldCharType="end"/>
      </w:r>
      <w:r>
        <w:rPr>
          <w:rFonts w:ascii="Arial" w:hAnsi="Arial" w:cs="Arial"/>
        </w:rPr>
        <w:t>. The log-likelihood of each observation can be then written as:</w:t>
      </w:r>
    </w:p>
    <w:p w:rsidR="00EC5802" w:rsidRDefault="00EC5802" w:rsidP="00EC5802">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rsidR="00D331F7" w:rsidRDefault="00EC5802" w:rsidP="00EC5802">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w:t>
      </w:r>
      <w:r w:rsidR="002819C9">
        <w:rPr>
          <w:rFonts w:ascii="Arial" w:hAnsi="Arial" w:cs="Arial"/>
        </w:rPr>
        <w:t xml:space="preserve">neighborhood-based </w:t>
      </w:r>
      <w:r>
        <w:rPr>
          <w:rFonts w:ascii="Arial" w:hAnsi="Arial" w:cs="Arial"/>
        </w:rPr>
        <w:t xml:space="preserve">logistic regression </w:t>
      </w:r>
      <w:r>
        <w:rPr>
          <w:rFonts w:ascii="Arial" w:hAnsi="Arial" w:cs="Arial"/>
        </w:rPr>
        <w:fldChar w:fldCharType="begin"/>
      </w:r>
      <w:r>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Pr>
          <w:rFonts w:ascii="Arial" w:hAnsi="Arial" w:cs="Arial"/>
        </w:rPr>
        <w:fldChar w:fldCharType="separate"/>
      </w:r>
      <w:r>
        <w:rPr>
          <w:rFonts w:ascii="Arial" w:hAnsi="Arial" w:cs="Arial"/>
          <w:noProof/>
        </w:rPr>
        <w:t>(</w:t>
      </w:r>
      <w:hyperlink w:anchor="_ENREF_35" w:tooltip="Ravikumar, 2010 #47" w:history="1">
        <w:r>
          <w:rPr>
            <w:rFonts w:ascii="Arial" w:hAnsi="Arial" w:cs="Arial"/>
            <w:noProof/>
          </w:rPr>
          <w:t>Ravikumar et al., 2010</w:t>
        </w:r>
      </w:hyperlink>
      <w:r>
        <w:rPr>
          <w:rFonts w:ascii="Arial" w:hAnsi="Arial" w:cs="Arial"/>
          <w:noProof/>
        </w:rPr>
        <w:t>)</w:t>
      </w:r>
      <w:r>
        <w:rPr>
          <w:rFonts w:ascii="Arial" w:hAnsi="Arial" w:cs="Arial"/>
        </w:rPr>
        <w:fldChar w:fldCharType="end"/>
      </w:r>
      <w:r w:rsidR="00D331F7">
        <w:rPr>
          <w:rFonts w:ascii="Arial" w:hAnsi="Arial" w:cs="Arial"/>
        </w:rPr>
        <w:t>:</w:t>
      </w:r>
    </w:p>
    <w:p w:rsidR="00D331F7" w:rsidRPr="00E849D4" w:rsidRDefault="00D331F7" w:rsidP="00D331F7">
      <w:pPr>
        <w:spacing w:line="480" w:lineRule="auto"/>
        <w:ind w:firstLine="210"/>
        <w:jc w:val="center"/>
        <w:rPr>
          <w:rFonts w:ascii="Arial" w:hAnsi="Arial" w:cs="Arial"/>
        </w:rPr>
      </w:pPr>
      <m:oMath>
        <m:sSub>
          <m:sSubPr>
            <m:ctrlPr>
              <w:rPr>
                <w:rFonts w:ascii="Cambria Math" w:hAnsi="Cambria Math" w:cs="Arial"/>
                <w:i/>
              </w:rPr>
            </m:ctrlPr>
          </m:sSubPr>
          <m:e>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lim>
                </m:limLow>
              </m:fName>
              <m:e>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+λ</m:t>
                </m:r>
              </m:e>
            </m:func>
          </m:e>
          <m:sub>
            <m:r>
              <w:rPr>
                <w:rFonts w:ascii="Cambria Math" w:hAnsi="Cambria Math" w:cs="Arial"/>
              </w:rPr>
              <m:t>s</m:t>
            </m:r>
          </m:sub>
        </m:sSub>
        <m:sSub>
          <m:sSubPr>
            <m:ctrlPr>
              <w:rPr>
                <w:rFonts w:ascii="Cambria Math" w:hAnsi="Cambria Math" w:cs="Arial"/>
                <w:i/>
              </w:rPr>
            </m:ctrlPr>
          </m:sSub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e>
            </m:d>
          </m:e>
          <m:sub>
            <m:r>
              <w:rPr>
                <w:rFonts w:ascii="Cambria Math" w:hAnsi="Cambria Math" w:cs="Arial"/>
              </w:rPr>
              <m:t>1</m:t>
            </m:r>
          </m:sub>
        </m:sSub>
        <m:r>
          <w:rPr>
            <w:rFonts w:ascii="Cambria Math" w:hAnsi="Cambria Math" w:cs="Arial"/>
          </w:rPr>
          <m:t>}</m:t>
        </m:r>
      </m:oMath>
      <w:r w:rsidR="00E849D4">
        <w:rPr>
          <w:rFonts w:ascii="Arial" w:hAnsi="Arial" w:cs="Arial"/>
        </w:rPr>
        <w:t>,</w:t>
      </w:r>
    </w:p>
    <w:p w:rsidR="00E849D4" w:rsidRDefault="00E849D4" w:rsidP="00E849D4">
      <w:pPr>
        <w:spacing w:line="480" w:lineRule="auto"/>
        <w:rPr>
          <w:rFonts w:ascii="Arial" w:hAnsi="Arial" w:cs="Arial"/>
        </w:rPr>
      </w:pPr>
      <w:r>
        <w:rPr>
          <w:rFonts w:ascii="Arial" w:hAnsi="Arial" w:cs="Arial"/>
        </w:rPr>
        <w:t>where</w:t>
      </w:r>
    </w:p>
    <w:p w:rsidR="00E849D4" w:rsidRPr="009620FA" w:rsidRDefault="00E849D4" w:rsidP="00E849D4">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rsidR="009620FA" w:rsidRDefault="009620FA" w:rsidP="009620FA">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Pr>
          <w:rFonts w:ascii="Arial" w:hAnsi="Arial" w:cs="Arial"/>
        </w:rPr>
        <w:t>.</w:t>
      </w:r>
    </w:p>
    <w:p w:rsidR="003C28A6" w:rsidRDefault="003C28A6" w:rsidP="00EC5802">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w:t>
      </w:r>
      <w:r w:rsidR="00857753">
        <w:rPr>
          <w:rFonts w:ascii="Arial" w:hAnsi="Arial" w:cs="Arial"/>
        </w:rPr>
        <w:t xml:space="preserve"> Then, a graph structure is learnt by thresholdin</w:t>
      </w:r>
      <w:r w:rsidR="00857753">
        <w:rPr>
          <w:rFonts w:ascii="Arial" w:hAnsi="Arial" w:cs="Arial"/>
        </w:rPr>
        <w:t>g the edge potentials</w:t>
      </w:r>
      <w:r w:rsidR="00857753">
        <w:rPr>
          <w:rFonts w:ascii="Arial" w:hAnsi="Arial" w:cs="Arial"/>
        </w:rPr>
        <w:t xml:space="preserve"> with a given density </w:t>
      </w:r>
      <w:r w:rsidR="00857753">
        <w:rPr>
          <w:rFonts w:ascii="Arial" w:hAnsi="Arial" w:cs="Arial"/>
        </w:rPr>
        <w:lastRenderedPageBreak/>
        <w:t xml:space="preserve">preference </w:t>
      </w:r>
      <m:oMath>
        <m:r>
          <w:rPr>
            <w:rFonts w:ascii="Cambria Math" w:hAnsi="Cambria Math" w:cs="Arial"/>
          </w:rPr>
          <m:t>d</m:t>
        </m:r>
      </m:oMath>
      <w:r w:rsidR="00857753">
        <w:rPr>
          <w:rFonts w:ascii="Arial" w:hAnsi="Arial" w:cs="Arial"/>
        </w:rPr>
        <w:t>.</w:t>
      </w:r>
      <w:r w:rsidR="00285121">
        <w:rPr>
          <w:rFonts w:ascii="Arial" w:hAnsi="Arial" w:cs="Arial"/>
        </w:rPr>
        <w:t xml:space="preserve"> Edges with potential values within top </w:t>
      </w:r>
      <m:oMath>
        <m:r>
          <w:rPr>
            <w:rFonts w:ascii="Cambria Math" w:hAnsi="Cambria Math" w:cs="Arial"/>
          </w:rPr>
          <m:t>d</m:t>
        </m:r>
      </m:oMath>
      <w:r w:rsidR="00285121">
        <w:rPr>
          <w:rFonts w:ascii="Arial" w:hAnsi="Arial" w:cs="Arial"/>
        </w:rPr>
        <w:t xml:space="preserve"> quantile were kept</w:t>
      </w:r>
      <w:r w:rsidR="000271EC">
        <w:rPr>
          <w:rFonts w:ascii="Arial" w:hAnsi="Arial" w:cs="Arial"/>
        </w:rPr>
        <w:t xml:space="preserve"> as the final structure</w:t>
      </w:r>
      <w:r w:rsidR="00285121">
        <w:rPr>
          <w:rFonts w:ascii="Arial" w:hAnsi="Arial" w:cs="Arial"/>
        </w:rPr>
        <w:t>.</w:t>
      </w:r>
      <w:r w:rsidR="00D41F46">
        <w:rPr>
          <w:rFonts w:ascii="Arial" w:hAnsi="Arial" w:cs="Arial"/>
        </w:rPr>
        <w:t xml:space="preserve"> It is worth noting that although </w:t>
      </w:r>
      <m:oMath>
        <m:r>
          <w:rPr>
            <w:rFonts w:ascii="Cambria Math" w:hAnsi="Cambria Math" w:cs="Arial"/>
          </w:rPr>
          <m:t>d</m:t>
        </m:r>
      </m:oMath>
      <w:r w:rsidR="00D41F46">
        <w:rPr>
          <w:rFonts w:ascii="Arial" w:hAnsi="Arial" w:cs="Arial"/>
        </w:rPr>
        <w:t xml:space="preserve"> could bias the result, varying </w:t>
      </w:r>
      <m:oMath>
        <m:r>
          <w:rPr>
            <w:rFonts w:ascii="Cambria Math" w:hAnsi="Cambria Math" w:cs="Arial"/>
          </w:rPr>
          <m:t>d</m:t>
        </m:r>
      </m:oMath>
      <w:r w:rsidR="00D41F46">
        <w:rPr>
          <w:rFonts w:ascii="Arial" w:hAnsi="Arial" w:cs="Arial"/>
        </w:rPr>
        <w:t xml:space="preserve"> does not lead to density values</w:t>
      </w:r>
      <w:r w:rsidR="00417428">
        <w:rPr>
          <w:rFonts w:ascii="Arial" w:hAnsi="Arial" w:cs="Arial"/>
        </w:rPr>
        <w:t xml:space="preserve"> that differ much</w:t>
      </w:r>
      <w:r w:rsidR="00D41F46">
        <w:rPr>
          <w:rFonts w:ascii="Arial" w:hAnsi="Arial" w:cs="Arial"/>
        </w:rPr>
        <w:t>. This is probably because of the sparse nature of the obtained Ising model.</w:t>
      </w:r>
    </w:p>
    <w:p w:rsidR="00EC5802" w:rsidRDefault="00EC5802" w:rsidP="00EC5802">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w:t>
      </w:r>
      <w:hyperlink w:anchor="_ENREF_45" w:tooltip="Tang, 2016 #48" w:history="1">
        <w:r>
          <w:rPr>
            <w:rFonts w:ascii="Arial" w:hAnsi="Arial" w:cs="Arial"/>
            <w:noProof/>
          </w:rPr>
          <w:t>Tang et al., 2016</w:t>
        </w:r>
      </w:hyperlink>
      <w:r>
        <w:rPr>
          <w:rFonts w:ascii="Arial" w:hAnsi="Arial" w:cs="Arial"/>
          <w:noProof/>
        </w:rPr>
        <w:t>)</w:t>
      </w:r>
      <w:r>
        <w:rPr>
          <w:rFonts w:ascii="Arial" w:hAnsi="Arial" w:cs="Arial"/>
        </w:rPr>
        <w:fldChar w:fldCharType="end"/>
      </w:r>
      <w:r>
        <w:rPr>
          <w:rFonts w:ascii="Arial" w:hAnsi="Arial" w:cs="Arial"/>
        </w:rPr>
        <w:t>:</w:t>
      </w:r>
    </w:p>
    <w:p w:rsidR="00EC5802" w:rsidRDefault="00EC5802" w:rsidP="00EC5802">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rsidR="00EC5802" w:rsidRPr="00044B3A" w:rsidRDefault="00B0591D" w:rsidP="00EC5802">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w:t>
      </w:r>
      <w:r w:rsidR="00EC5802">
        <w:rPr>
          <w:rFonts w:ascii="Arial" w:hAnsi="Arial" w:cs="Arial"/>
        </w:rPr>
        <w:t>Cross-validation was done to find the best</w:t>
      </w:r>
      <w:r>
        <w:rPr>
          <w:rFonts w:ascii="Arial" w:hAnsi="Arial" w:cs="Arial"/>
        </w:rPr>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sidR="00311C6A">
        <w:rPr>
          <w:rFonts w:ascii="Arial" w:hAnsi="Arial" w:cs="Arial"/>
        </w:rPr>
        <w:t xml:space="preserve">, </w:t>
      </w:r>
      <m:oMath>
        <m:r>
          <w:rPr>
            <w:rFonts w:ascii="Cambria Math" w:hAnsi="Cambria Math" w:cs="Arial"/>
          </w:rPr>
          <m:t>d</m:t>
        </m:r>
      </m:oMath>
      <w:r w:rsidR="00311C6A">
        <w:rPr>
          <w:rFonts w:ascii="Arial" w:hAnsi="Arial" w:cs="Arial"/>
        </w:rPr>
        <w:t xml:space="preserve"> </w:t>
      </w:r>
      <w:r>
        <w:rPr>
          <w:rFonts w:ascii="Arial" w:hAnsi="Arial" w:cs="Arial"/>
        </w:rPr>
        <w:t xml:space="preserve">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sidR="00EC5802">
        <w:rPr>
          <w:rFonts w:ascii="Arial" w:hAnsi="Arial" w:cs="Arial"/>
        </w:rPr>
        <w:t xml:space="preserve"> </w:t>
      </w:r>
      <w:r w:rsidR="00EC5802" w:rsidRPr="0091270B">
        <w:rPr>
          <w:rFonts w:ascii="Arial" w:hAnsi="Arial" w:cs="Arial"/>
        </w:rPr>
        <w:t>via model likelihood.</w:t>
      </w:r>
      <w:r>
        <w:rPr>
          <w:rFonts w:ascii="Arial" w:hAnsi="Arial" w:cs="Arial"/>
        </w:rPr>
        <w:t xml:space="preserve"> </w:t>
      </w:r>
      <w:r w:rsidR="00A9506F">
        <w:rPr>
          <w:rFonts w:ascii="Arial" w:hAnsi="Arial" w:cs="Arial"/>
        </w:rPr>
        <w:t xml:space="preserve">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sidR="00A9506F">
        <w:rPr>
          <w:rFonts w:ascii="Arial" w:hAnsi="Arial" w:cs="Arial"/>
        </w:rPr>
        <w:t xml:space="preserve"> </w:t>
      </w:r>
      <w:r w:rsidR="005B56D0">
        <w:rPr>
          <w:rFonts w:ascii="Arial" w:hAnsi="Arial" w:cs="Arial"/>
        </w:rPr>
        <w:t>with 6 values</w:t>
      </w:r>
      <w:r w:rsidR="00A9506F">
        <w:rPr>
          <w:rFonts w:ascii="Arial" w:hAnsi="Arial" w:cs="Arial"/>
        </w:rPr>
        <w:t xml:space="preserve"> between 0.002 and 0.5, </w:t>
      </w:r>
      <w:r w:rsidR="005B56D0">
        <w:rPr>
          <w:rFonts w:ascii="Arial" w:hAnsi="Arial" w:cs="Arial"/>
        </w:rPr>
        <w:t xml:space="preserve">d </w:t>
      </w:r>
      <w:r w:rsidR="005B56D0">
        <w:rPr>
          <w:rFonts w:ascii="Arial" w:hAnsi="Arial" w:cs="Arial"/>
        </w:rPr>
        <w:t>with 6 values</w:t>
      </w:r>
      <w:r w:rsidR="005B56D0">
        <w:rPr>
          <w:rFonts w:ascii="Arial" w:hAnsi="Arial" w:cs="Arial"/>
        </w:rPr>
        <w:t xml:space="preserve"> between 0.25 and 0.3</w:t>
      </w:r>
      <w:r w:rsidR="00CE0697">
        <w:rPr>
          <w:rFonts w:ascii="Arial" w:hAnsi="Arial" w:cs="Arial"/>
        </w:rPr>
        <w:t xml:space="preserve">, </w:t>
      </w:r>
      <w:r w:rsidR="00A9506F">
        <w:rPr>
          <w:rFonts w:ascii="Arial" w:hAnsi="Arial" w:cs="Arial"/>
        </w:rPr>
        <w:t xml:space="preserve">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sidR="00A9506F">
        <w:rPr>
          <w:rFonts w:ascii="Arial" w:hAnsi="Arial" w:cs="Arial"/>
        </w:rPr>
        <w:t xml:space="preserve"> </w:t>
      </w:r>
      <w:r w:rsidR="005B56D0">
        <w:rPr>
          <w:rFonts w:ascii="Arial" w:hAnsi="Arial" w:cs="Arial"/>
        </w:rPr>
        <w:t xml:space="preserve">with 5 values </w:t>
      </w:r>
      <w:r w:rsidR="00A9506F">
        <w:rPr>
          <w:rFonts w:ascii="Arial" w:hAnsi="Arial" w:cs="Arial"/>
        </w:rPr>
        <w:t>between 10 and 10000</w:t>
      </w:r>
      <w:r w:rsidR="005B56D0">
        <w:rPr>
          <w:rFonts w:ascii="Arial" w:hAnsi="Arial" w:cs="Arial"/>
        </w:rPr>
        <w:t>, all sampled uniformly</w:t>
      </w:r>
      <w:r w:rsidR="00A9506F">
        <w:rPr>
          <w:rFonts w:ascii="Arial" w:hAnsi="Arial" w:cs="Arial"/>
        </w:rPr>
        <w:t>.</w:t>
      </w:r>
      <w:r w:rsidR="0075644B">
        <w:rPr>
          <w:rFonts w:ascii="Arial" w:hAnsi="Arial" w:cs="Arial"/>
        </w:rPr>
        <w:t xml:space="preserve"> </w:t>
      </w:r>
      <w:r w:rsidR="00E13D44">
        <w:rPr>
          <w:rFonts w:ascii="Arial" w:hAnsi="Arial" w:cs="Arial"/>
        </w:rPr>
        <w:t xml:space="preserve">To obtain the best model parameters, </w:t>
      </w:r>
      <w:r w:rsidR="0075644B">
        <w:rPr>
          <w:rFonts w:ascii="Arial" w:hAnsi="Arial" w:cs="Arial"/>
        </w:rPr>
        <w:t>90% data were used for training, while 10% data were withheld for cross-validation</w:t>
      </w:r>
      <w:r w:rsidR="00E13D44">
        <w:rPr>
          <w:rFonts w:ascii="Arial" w:hAnsi="Arial" w:cs="Arial"/>
        </w:rPr>
        <w:t>.</w:t>
      </w:r>
      <w:r w:rsidR="0075644B">
        <w:rPr>
          <w:rFonts w:ascii="Arial" w:hAnsi="Arial" w:cs="Arial"/>
        </w:rPr>
        <w:t xml:space="preserve"> </w:t>
      </w:r>
      <w:r w:rsidR="00E13D44">
        <w:rPr>
          <w:rFonts w:ascii="Arial" w:hAnsi="Arial" w:cs="Arial"/>
        </w:rPr>
        <w:t>T</w:t>
      </w:r>
      <w:r w:rsidR="0075644B">
        <w:rPr>
          <w:rFonts w:ascii="Arial" w:hAnsi="Arial" w:cs="Arial"/>
        </w:rPr>
        <w:t>he best model parameters were determined by</w:t>
      </w:r>
      <w:r w:rsidR="00E13D44">
        <w:rPr>
          <w:rFonts w:ascii="Arial" w:hAnsi="Arial" w:cs="Arial"/>
        </w:rPr>
        <w:t xml:space="preserve"> calculating the likelihood of</w:t>
      </w:r>
      <w:r w:rsidR="0075644B">
        <w:rPr>
          <w:rFonts w:ascii="Arial" w:hAnsi="Arial" w:cs="Arial"/>
        </w:rPr>
        <w:t xml:space="preserve"> the withheld data and selecting</w:t>
      </w:r>
      <w:r w:rsidR="00F15DF7">
        <w:rPr>
          <w:rFonts w:ascii="Arial" w:hAnsi="Arial" w:cs="Arial"/>
        </w:rPr>
        <w:t xml:space="preserve"> the parameter set with a locally</w:t>
      </w:r>
      <w:r w:rsidR="00A62A5D">
        <w:rPr>
          <w:rFonts w:ascii="Arial" w:hAnsi="Arial" w:cs="Arial"/>
        </w:rPr>
        <w:t xml:space="preserve"> maximum</w:t>
      </w:r>
      <w:r w:rsidR="0075644B">
        <w:rPr>
          <w:rFonts w:ascii="Arial" w:hAnsi="Arial" w:cs="Arial"/>
        </w:rPr>
        <w:t xml:space="preserve"> </w:t>
      </w:r>
      <w:r w:rsidR="00A62A5D">
        <w:rPr>
          <w:rFonts w:ascii="Arial" w:hAnsi="Arial" w:cs="Arial"/>
        </w:rPr>
        <w:t>likelihood</w:t>
      </w:r>
      <w:r w:rsidR="00F15DF7">
        <w:rPr>
          <w:rFonts w:ascii="Arial" w:hAnsi="Arial" w:cs="Arial"/>
        </w:rPr>
        <w:t xml:space="preserve"> in the parameter space</w:t>
      </w:r>
      <w:r w:rsidR="0075644B">
        <w:rPr>
          <w:rFonts w:ascii="Arial" w:hAnsi="Arial" w:cs="Arial"/>
        </w:rPr>
        <w:t>.</w:t>
      </w:r>
    </w:p>
    <w:p w:rsidR="00EC5802" w:rsidRPr="008F2764" w:rsidRDefault="00EC5802" w:rsidP="00EC5802">
      <w:pPr>
        <w:spacing w:line="480" w:lineRule="auto"/>
        <w:rPr>
          <w:rFonts w:ascii="Arial" w:hAnsi="Arial" w:cs="Arial"/>
          <w:b/>
        </w:rPr>
      </w:pPr>
      <w:r w:rsidRPr="008F2764">
        <w:rPr>
          <w:rFonts w:ascii="Arial" w:hAnsi="Arial" w:cs="Arial"/>
          <w:b/>
        </w:rPr>
        <w:t>Identifying optimal cortical ensembles</w:t>
      </w:r>
    </w:p>
    <w:p w:rsidR="00EC5802" w:rsidRDefault="00EC5802" w:rsidP="00EC5802">
      <w:pPr>
        <w:spacing w:line="480" w:lineRule="auto"/>
        <w:rPr>
          <w:rFonts w:ascii="Arial" w:hAnsi="Arial" w:cs="Arial"/>
        </w:rPr>
      </w:pPr>
      <w:r>
        <w:rPr>
          <w:rFonts w:ascii="Arial" w:hAnsi="Arial" w:cs="Arial"/>
        </w:rPr>
        <w:t xml:space="preserve">To find optimal cortical ensembles for each condition, we iterate through all the neurons and identify their contribution in predicting stimulus conditions with the population. To this end, for the </w: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Pr>
          <w:rFonts w:ascii="Arial" w:hAnsi="Arial" w:cs="Arial"/>
        </w:rPr>
        <w:t xml:space="preserve"> frame among all samples, we calculate the likelihood of them coming from the trained CRF model:</w:t>
      </w:r>
    </w:p>
    <w:p w:rsidR="00EC5802" w:rsidRPr="00A619F7" w:rsidRDefault="00EC5802" w:rsidP="00EC5802">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rsidR="00EC5802" w:rsidRPr="00B67B3F" w:rsidRDefault="00EC5802" w:rsidP="00EC5802">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rsidR="00EC5802" w:rsidRPr="00F70DAE" w:rsidRDefault="00EC5802" w:rsidP="00EC5802">
      <w:pPr>
        <w:spacing w:line="480" w:lineRule="auto"/>
        <w:rPr>
          <w:rFonts w:ascii="Arial" w:hAnsi="Arial" w:cs="Arial"/>
          <w:lang w:eastAsia="zh-CN"/>
        </w:rPr>
      </w:pPr>
      <w:r>
        <w:rPr>
          <w:rFonts w:ascii="Arial" w:hAnsi="Arial" w:cs="Arial"/>
        </w:rPr>
        <w:t>Then, we computed the likelihood difference vector</w:t>
      </w:r>
    </w:p>
    <w:p w:rsidR="00EC5802" w:rsidRPr="003264F0" w:rsidRDefault="00EC5802" w:rsidP="00EC5802">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rsidR="00EC5802" w:rsidRDefault="00EC5802" w:rsidP="00EC5802">
      <w:pPr>
        <w:spacing w:line="480" w:lineRule="auto"/>
        <w:rPr>
          <w:rFonts w:ascii="Arial" w:hAnsi="Arial" w:cs="Arial"/>
        </w:rPr>
      </w:pPr>
      <w:r>
        <w:rPr>
          <w:rFonts w:ascii="Arial" w:hAnsi="Arial" w:cs="Arial"/>
        </w:rPr>
        <w:t xml:space="preserve">and threshold it by baseline plus </w:t>
      </w:r>
      <w:r w:rsidRPr="000F4E1F">
        <w:rPr>
          <w:rFonts w:ascii="Arial" w:hAnsi="Arial" w:cs="Arial"/>
        </w:rPr>
        <w:t>3 times the standard deviation of noise</w:t>
      </w:r>
      <w:r>
        <w:rPr>
          <w:rFonts w:ascii="Arial" w:hAnsi="Arial" w:cs="Arial"/>
        </w:rPr>
        <w:t>. This gives a binary prediction vector for each neuron over the entire experiment. We then calculated the true positive rate (TPR) and false positive rate (FPR) of each neuron using each stimulus as following:</w:t>
      </w:r>
    </w:p>
    <w:p w:rsidR="00EC5802" w:rsidRDefault="00EC5802" w:rsidP="00EC5802">
      <w:pPr>
        <w:spacing w:line="480" w:lineRule="auto"/>
        <w:jc w:val="center"/>
        <w:rPr>
          <w:rFonts w:ascii="Arial" w:hAnsi="Arial" w:cs="Arial"/>
        </w:rPr>
      </w:pPr>
      <m:oMathPara>
        <m:oMath>
          <m:sSub>
            <m:sSubPr>
              <m:ctrlPr>
                <w:rPr>
                  <w:rFonts w:ascii="Cambria Math" w:hAnsi="Cambria Math" w:cs="Arial"/>
                </w:rPr>
              </m:ctrlPr>
            </m:sSubPr>
            <m:e>
              <m:r>
                <m:rPr>
                  <m:sty m:val="p"/>
                </m:rPr>
                <w:rPr>
                  <w:rFonts w:ascii="Cambria Math" w:hAnsi="Cambria Math" w:cs="Arial"/>
                </w:rPr>
                <m:t>T</m:t>
              </m:r>
              <m:r>
                <m:rPr>
                  <m:sty m:val="p"/>
                </m:rPr>
                <w:rPr>
                  <w:rFonts w:ascii="Cambria Math" w:hAnsi="Cambria Math" w:cs="Arial"/>
                </w:rPr>
                <m:t>P</m:t>
              </m:r>
              <m:r>
                <m:rPr>
                  <m:sty m:val="p"/>
                </m:rPr>
                <w:rPr>
                  <w:rFonts w:ascii="Cambria Math" w:hAnsi="Cambria Math" w:cs="Arial"/>
                </w:rPr>
                <m:t>R</m:t>
              </m:r>
            </m:e>
            <m:sub>
              <m:r>
                <w:rPr>
                  <w:rFonts w:ascii="Cambria Math" w:hAnsi="Cambria Math" w:cs="Arial"/>
                </w:rPr>
                <m:t>i</m:t>
              </m:r>
              <m:r>
                <w:rPr>
                  <w:rFonts w:ascii="Cambria Math" w:hAnsi="Cambria Math" w:cs="Arial"/>
                </w:rPr>
                <m:t>, s</m:t>
              </m:r>
            </m:sub>
          </m:sSub>
          <m:r>
            <w:rPr>
              <w:rFonts w:ascii="Cambria Math" w:hAnsi="Cambria Math" w:cs="Arial"/>
            </w:rPr>
            <m:t>=</m:t>
          </m:r>
          <m:f>
            <m:fPr>
              <m:ctrlPr>
                <w:rPr>
                  <w:rFonts w:ascii="Cambria Math" w:hAnsi="Cambria Math" w:cs="Arial"/>
                  <w:i/>
                </w:rPr>
              </m:ctrlPr>
            </m:fPr>
            <m:num>
              <m:sSub>
                <m:sSubPr>
                  <m:ctrlPr>
                    <w:rPr>
                      <w:rFonts w:ascii="Cambria Math" w:hAnsi="Cambria Math" w:cs="Arial"/>
                    </w:rPr>
                  </m:ctrlPr>
                </m:sSubPr>
                <m:e>
                  <m:r>
                    <m:rPr>
                      <m:sty m:val="p"/>
                    </m:rPr>
                    <w:rPr>
                      <w:rFonts w:ascii="Cambria Math" w:hAnsi="Cambria Math" w:cs="Arial"/>
                    </w:rPr>
                    <m:t>TP</m:t>
                  </m:r>
                </m:e>
                <m:sub>
                  <m:r>
                    <w:rPr>
                      <w:rFonts w:ascii="Cambria Math" w:hAnsi="Cambria Math" w:cs="Arial"/>
                    </w:rPr>
                    <m:t>i,s</m:t>
                  </m:r>
                </m:sub>
              </m:sSub>
            </m:num>
            <m:den>
              <m:sSub>
                <m:sSubPr>
                  <m:ctrlPr>
                    <w:rPr>
                      <w:rFonts w:ascii="Cambria Math" w:hAnsi="Cambria Math" w:cs="Arial"/>
                    </w:rPr>
                  </m:ctrlPr>
                </m:sSubPr>
                <m:e>
                  <m:r>
                    <m:rPr>
                      <m:sty m:val="p"/>
                    </m:rPr>
                    <w:rPr>
                      <w:rFonts w:ascii="Cambria Math" w:hAnsi="Cambria Math" w:cs="Arial"/>
                    </w:rPr>
                    <m:t>TP</m:t>
                  </m:r>
                </m:e>
                <m:sub>
                  <m:r>
                    <w:rPr>
                      <w:rFonts w:ascii="Cambria Math" w:hAnsi="Cambria Math" w:cs="Arial"/>
                    </w:rPr>
                    <m:t>i,s</m:t>
                  </m:r>
                </m:sub>
              </m:sSub>
              <m:r>
                <w:rPr>
                  <w:rFonts w:ascii="Cambria Math" w:hAnsi="Cambria Math" w:cs="Arial"/>
                </w:rPr>
                <m:t>+</m:t>
              </m:r>
              <m:r>
                <m:rPr>
                  <m:sty m:val="p"/>
                </m:rPr>
                <w:rPr>
                  <w:rFonts w:ascii="Cambria Math" w:hAnsi="Cambria Math" w:cs="Arial"/>
                </w:rPr>
                <m:t>F</m:t>
              </m:r>
              <m:sSub>
                <m:sSubPr>
                  <m:ctrlPr>
                    <w:rPr>
                      <w:rFonts w:ascii="Cambria Math" w:hAnsi="Cambria Math" w:cs="Arial"/>
                      <w:i/>
                    </w:rPr>
                  </m:ctrlPr>
                </m:sSubPr>
                <m:e>
                  <m:r>
                    <m:rPr>
                      <m:sty m:val="p"/>
                    </m:rPr>
                    <w:rPr>
                      <w:rFonts w:ascii="Cambria Math" w:hAnsi="Cambria Math" w:cs="Arial"/>
                    </w:rPr>
                    <m:t>N</m:t>
                  </m:r>
                </m:e>
                <m:sub>
                  <m:r>
                    <w:rPr>
                      <w:rFonts w:ascii="Cambria Math" w:hAnsi="Cambria Math" w:cs="Arial"/>
                    </w:rPr>
                    <m:t>i,s</m:t>
                  </m:r>
                </m:sub>
              </m:sSub>
            </m:den>
          </m:f>
          <m:r>
            <w:rPr>
              <w:rFonts w:ascii="Cambria Math" w:hAnsi="Cambria Math" w:cs="Arial"/>
            </w:rPr>
            <m:t xml:space="preserve">, </m:t>
          </m:r>
        </m:oMath>
      </m:oMathPara>
    </w:p>
    <w:p w:rsidR="00EC5802" w:rsidRPr="00D17C57" w:rsidRDefault="00EC5802" w:rsidP="00EC5802">
      <w:pPr>
        <w:spacing w:line="480" w:lineRule="auto"/>
        <w:jc w:val="center"/>
        <w:rPr>
          <w:rFonts w:ascii="Arial" w:hAnsi="Arial" w:cs="Arial"/>
        </w:rPr>
      </w:pPr>
      <m:oMathPara>
        <m:oMath>
          <m:sSub>
            <m:sSubPr>
              <m:ctrlPr>
                <w:rPr>
                  <w:rFonts w:ascii="Cambria Math" w:hAnsi="Cambria Math" w:cs="Arial"/>
                </w:rPr>
              </m:ctrlPr>
            </m:sSubPr>
            <m:e>
              <m:r>
                <m:rPr>
                  <m:sty m:val="p"/>
                </m:rPr>
                <w:rPr>
                  <w:rFonts w:ascii="Cambria Math" w:hAnsi="Cambria Math" w:cs="Arial"/>
                </w:rPr>
                <m:t>FP</m:t>
              </m:r>
              <m:r>
                <m:rPr>
                  <m:sty m:val="p"/>
                </m:rPr>
                <w:rPr>
                  <w:rFonts w:ascii="Cambria Math" w:hAnsi="Cambria Math" w:cs="Arial"/>
                </w:rPr>
                <m:t>R</m:t>
              </m:r>
            </m:e>
            <m:sub>
              <m:r>
                <w:rPr>
                  <w:rFonts w:ascii="Cambria Math" w:hAnsi="Cambria Math" w:cs="Arial"/>
                </w:rPr>
                <m:t>i</m:t>
              </m:r>
              <m:r>
                <w:rPr>
                  <w:rFonts w:ascii="Cambria Math" w:hAnsi="Cambria Math" w:cs="Arial"/>
                </w:rPr>
                <m:t>,s</m:t>
              </m:r>
            </m:sub>
          </m:sSub>
          <m:r>
            <w:rPr>
              <w:rFonts w:ascii="Cambria Math" w:hAnsi="Cambria Math" w:cs="Arial"/>
            </w:rPr>
            <m:t>=</m:t>
          </m:r>
          <m:f>
            <m:fPr>
              <m:ctrlPr>
                <w:rPr>
                  <w:rFonts w:ascii="Cambria Math" w:hAnsi="Cambria Math" w:cs="Arial"/>
                  <w:i/>
                </w:rPr>
              </m:ctrlPr>
            </m:fPr>
            <m:num>
              <m:sSub>
                <m:sSubPr>
                  <m:ctrlPr>
                    <w:rPr>
                      <w:rFonts w:ascii="Cambria Math" w:hAnsi="Cambria Math" w:cs="Arial"/>
                    </w:rPr>
                  </m:ctrlPr>
                </m:sSubPr>
                <m:e>
                  <m:r>
                    <m:rPr>
                      <m:sty m:val="p"/>
                    </m:rPr>
                    <w:rPr>
                      <w:rFonts w:ascii="Cambria Math" w:hAnsi="Cambria Math" w:cs="Arial"/>
                    </w:rPr>
                    <m:t>F</m:t>
                  </m:r>
                  <m:r>
                    <m:rPr>
                      <m:sty m:val="p"/>
                    </m:rPr>
                    <w:rPr>
                      <w:rFonts w:ascii="Cambria Math" w:hAnsi="Cambria Math" w:cs="Arial"/>
                    </w:rPr>
                    <m:t>P</m:t>
                  </m:r>
                </m:e>
                <m:sub>
                  <m:r>
                    <w:rPr>
                      <w:rFonts w:ascii="Cambria Math" w:hAnsi="Cambria Math" w:cs="Arial"/>
                    </w:rPr>
                    <m:t>i,s</m:t>
                  </m:r>
                </m:sub>
              </m:sSub>
            </m:num>
            <m:den>
              <m:sSub>
                <m:sSubPr>
                  <m:ctrlPr>
                    <w:rPr>
                      <w:rFonts w:ascii="Cambria Math" w:hAnsi="Cambria Math" w:cs="Arial"/>
                    </w:rPr>
                  </m:ctrlPr>
                </m:sSubPr>
                <m:e>
                  <m:r>
                    <m:rPr>
                      <m:sty m:val="p"/>
                    </m:rPr>
                    <w:rPr>
                      <w:rFonts w:ascii="Cambria Math" w:hAnsi="Cambria Math" w:cs="Arial"/>
                    </w:rPr>
                    <m:t>F</m:t>
                  </m:r>
                  <m:r>
                    <m:rPr>
                      <m:sty m:val="p"/>
                    </m:rPr>
                    <w:rPr>
                      <w:rFonts w:ascii="Cambria Math" w:hAnsi="Cambria Math" w:cs="Arial"/>
                    </w:rPr>
                    <m:t>P</m:t>
                  </m:r>
                </m:e>
                <m:sub>
                  <m:r>
                    <w:rPr>
                      <w:rFonts w:ascii="Cambria Math" w:hAnsi="Cambria Math" w:cs="Arial"/>
                    </w:rPr>
                    <m:t>i,s</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TN</m:t>
                  </m:r>
                </m:e>
                <m:sub>
                  <m:r>
                    <w:rPr>
                      <w:rFonts w:ascii="Cambria Math" w:hAnsi="Cambria Math" w:cs="Arial"/>
                    </w:rPr>
                    <m:t>i,s</m:t>
                  </m:r>
                </m:sub>
              </m:sSub>
            </m:den>
          </m:f>
          <m:r>
            <w:rPr>
              <w:rFonts w:ascii="Cambria Math" w:hAnsi="Cambria Math" w:cs="Arial"/>
            </w:rPr>
            <m:t>,</m:t>
          </m:r>
        </m:oMath>
      </m:oMathPara>
    </w:p>
    <w:p w:rsidR="00D17C57" w:rsidRDefault="00D17C57" w:rsidP="00D17C57">
      <w:pPr>
        <w:spacing w:line="480" w:lineRule="auto"/>
        <w:rPr>
          <w:rFonts w:ascii="Arial" w:hAnsi="Arial" w:cs="Arial"/>
        </w:rPr>
      </w:pPr>
      <w:r>
        <w:rPr>
          <w:rFonts w:ascii="Arial" w:hAnsi="Arial" w:cs="Arial"/>
        </w:rPr>
        <w:t xml:space="preserve">where </w:t>
      </w:r>
      <m:oMath>
        <m:sSub>
          <m:sSubPr>
            <m:ctrlPr>
              <w:rPr>
                <w:rFonts w:ascii="Cambria Math" w:hAnsi="Cambria Math" w:cs="Arial"/>
              </w:rPr>
            </m:ctrlPr>
          </m:sSubPr>
          <m:e>
            <m:r>
              <m:rPr>
                <m:sty m:val="p"/>
              </m:rPr>
              <w:rPr>
                <w:rFonts w:ascii="Cambria Math" w:hAnsi="Cambria Math" w:cs="Arial"/>
              </w:rPr>
              <m:t>TP</m:t>
            </m:r>
          </m:e>
          <m:sub>
            <m:r>
              <w:rPr>
                <w:rFonts w:ascii="Cambria Math" w:hAnsi="Cambria Math" w:cs="Arial"/>
              </w:rPr>
              <m:t>i,s</m:t>
            </m:r>
          </m:sub>
        </m:sSub>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F</m:t>
            </m:r>
            <m:r>
              <m:rPr>
                <m:sty m:val="p"/>
              </m:rPr>
              <w:rPr>
                <w:rFonts w:ascii="Cambria Math" w:hAnsi="Cambria Math" w:cs="Arial"/>
              </w:rPr>
              <m:t>P</m:t>
            </m:r>
          </m:e>
          <m:sub>
            <m:r>
              <w:rPr>
                <w:rFonts w:ascii="Cambria Math" w:hAnsi="Cambria Math" w:cs="Arial"/>
              </w:rPr>
              <m:t>i,s</m:t>
            </m:r>
          </m:sub>
        </m:sSub>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T</m:t>
            </m:r>
            <m:r>
              <m:rPr>
                <m:sty m:val="p"/>
              </m:rPr>
              <w:rPr>
                <w:rFonts w:ascii="Cambria Math" w:hAnsi="Cambria Math" w:cs="Arial"/>
              </w:rPr>
              <m:t>N</m:t>
            </m:r>
          </m:e>
          <m:sub>
            <m:r>
              <w:rPr>
                <w:rFonts w:ascii="Cambria Math" w:hAnsi="Cambria Math" w:cs="Arial"/>
              </w:rPr>
              <m:t>i,s</m:t>
            </m:r>
          </m:sub>
        </m:sSub>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FN</m:t>
            </m:r>
          </m:e>
          <m:sub>
            <m:r>
              <w:rPr>
                <w:rFonts w:ascii="Cambria Math" w:hAnsi="Cambria Math" w:cs="Arial"/>
              </w:rPr>
              <m:t>i,s</m:t>
            </m:r>
          </m:sub>
        </m:sSub>
      </m:oMath>
      <w:r>
        <w:rPr>
          <w:rFonts w:ascii="Arial" w:hAnsi="Arial" w:cs="Arial"/>
        </w:rPr>
        <w:t xml:space="preserve"> represent the true positives, false positives, true negatives and false negatives of neuron </w:t>
      </w:r>
      <m:oMath>
        <m:r>
          <w:rPr>
            <w:rFonts w:ascii="Cambria Math" w:hAnsi="Cambria Math" w:cs="Arial"/>
          </w:rPr>
          <m:t>i</m:t>
        </m:r>
      </m:oMath>
      <w:r>
        <w:rPr>
          <w:rFonts w:ascii="Arial" w:hAnsi="Arial" w:cs="Arial"/>
        </w:rPr>
        <w:t xml:space="preserve"> predicting stimulus </w:t>
      </w:r>
      <m:oMath>
        <m:r>
          <m:rPr>
            <m:sty m:val="p"/>
          </m:rPr>
          <w:rPr>
            <w:rFonts w:ascii="Cambria Math" w:hAnsi="Cambria Math" w:cs="Arial"/>
          </w:rPr>
          <m:t>s</m:t>
        </m:r>
      </m:oMath>
      <w:r>
        <w:rPr>
          <w:rFonts w:ascii="Arial" w:hAnsi="Arial" w:cs="Arial"/>
        </w:rPr>
        <w:t>.</w:t>
      </w:r>
    </w:p>
    <w:p w:rsidR="00EC5802" w:rsidRPr="00A619F7" w:rsidRDefault="008E5976" w:rsidP="00EC5802">
      <w:pPr>
        <w:spacing w:line="480" w:lineRule="auto"/>
        <w:rPr>
          <w:rFonts w:ascii="Arial" w:hAnsi="Arial" w:cs="Arial"/>
        </w:rPr>
      </w:pPr>
      <w:r>
        <w:rPr>
          <w:rFonts w:ascii="Arial" w:hAnsi="Arial" w:cs="Arial"/>
        </w:rPr>
        <w:t xml:space="preserve">    </w:t>
      </w:r>
      <w:r w:rsidR="00EC5802">
        <w:rPr>
          <w:rFonts w:ascii="Arial" w:hAnsi="Arial" w:cs="Arial"/>
        </w:rPr>
        <w:t>T</w:t>
      </w:r>
      <w:r w:rsidR="00EC5802">
        <w:rPr>
          <w:rFonts w:ascii="Arial" w:hAnsi="Arial" w:cs="Arial"/>
          <w:lang w:eastAsia="zh-CN"/>
        </w:rPr>
        <w:t xml:space="preserve">he optimal </w:t>
      </w:r>
      <w:r w:rsidR="00EC5802">
        <w:rPr>
          <w:rFonts w:ascii="Arial" w:hAnsi="Arial" w:cs="Arial"/>
        </w:rPr>
        <w:t xml:space="preserve">cortical ensembles for each visual stimulus were defined by varying the threshold in the TPR/FPR space and cross-validating the threshold using the accuracy of </w:t>
      </w:r>
      <w:r w:rsidR="00EC5802">
        <w:rPr>
          <w:rFonts w:ascii="Arial" w:hAnsi="Arial" w:cs="Arial"/>
          <w:lang w:eastAsia="zh-CN"/>
        </w:rPr>
        <w:t xml:space="preserve">cosine similarity prediction for the corresponding stimuli as readout. </w:t>
      </w:r>
    </w:p>
    <w:p w:rsidR="00EC5802" w:rsidRPr="008F2764" w:rsidRDefault="00EC5802" w:rsidP="00EC5802">
      <w:pPr>
        <w:spacing w:line="480" w:lineRule="auto"/>
        <w:rPr>
          <w:rFonts w:ascii="Arial" w:hAnsi="Arial" w:cs="Arial"/>
          <w:b/>
        </w:rPr>
      </w:pPr>
      <w:r w:rsidRPr="008F2764">
        <w:rPr>
          <w:rFonts w:ascii="Arial" w:hAnsi="Arial" w:cs="Arial"/>
          <w:b/>
        </w:rPr>
        <w:t>Prediction with cosine similarity</w:t>
      </w:r>
    </w:p>
    <w:p w:rsidR="00EC5802" w:rsidRDefault="00EC5802" w:rsidP="00EC5802">
      <w:pPr>
        <w:spacing w:line="480" w:lineRule="auto"/>
        <w:rPr>
          <w:rFonts w:ascii="Arial" w:hAnsi="Arial" w:cs="Arial"/>
        </w:rPr>
      </w:pPr>
      <w:r w:rsidRPr="000F4E1F">
        <w:rPr>
          <w:rFonts w:ascii="Arial" w:hAnsi="Arial" w:cs="Arial"/>
        </w:rPr>
        <w:t xml:space="preserve">Identified </w:t>
      </w:r>
      <w:r>
        <w:rPr>
          <w:rFonts w:ascii="Arial" w:hAnsi="Arial" w:cs="Arial"/>
        </w:rPr>
        <w:t>optimal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p>
    <w:p w:rsidR="00EC5802" w:rsidRPr="008F2764" w:rsidRDefault="00EC5802" w:rsidP="00EC5802">
      <w:pPr>
        <w:spacing w:line="480" w:lineRule="auto"/>
        <w:rPr>
          <w:rFonts w:ascii="Arial" w:hAnsi="Arial" w:cs="Arial"/>
          <w:b/>
        </w:rPr>
      </w:pPr>
      <w:r w:rsidRPr="008F2764">
        <w:rPr>
          <w:rFonts w:ascii="Arial" w:hAnsi="Arial" w:cs="Arial"/>
          <w:b/>
        </w:rPr>
        <w:lastRenderedPageBreak/>
        <w:t>High-ranked cells</w:t>
      </w:r>
    </w:p>
    <w:p w:rsidR="00EC5802" w:rsidRDefault="00EC5802" w:rsidP="00EC5802">
      <w:pPr>
        <w:spacing w:line="480" w:lineRule="auto"/>
        <w:rPr>
          <w:rFonts w:ascii="Arial" w:hAnsi="Arial" w:cs="Arial"/>
        </w:rPr>
      </w:pPr>
      <w:r>
        <w:rPr>
          <w:rFonts w:ascii="Arial" w:hAnsi="Arial" w:cs="Arial"/>
        </w:rPr>
        <w:t>We define the node strength as the sum of the ‘11’ term of edge potentials from all connecting edges:</w:t>
      </w:r>
    </w:p>
    <w:p w:rsidR="00EC5802" w:rsidRPr="00EC3574" w:rsidRDefault="00EC5802" w:rsidP="00EC5802">
      <w:pPr>
        <w:spacing w:line="480" w:lineRule="auto"/>
        <w:rPr>
          <w:rFonts w:ascii="Arial" w:hAnsi="Arial" w:cs="Arial"/>
        </w:rPr>
      </w:pPr>
      <m:oMathPara>
        <m:oMath>
          <m:r>
            <m:rPr>
              <m:sty m:val="p"/>
            </m:rPr>
            <w:rPr>
              <w:rFonts w:ascii="Cambria Math" w:hAnsi="Cambria Math" w:cs="Arial" w:hint="eastAsia"/>
            </w:rPr>
            <m:t>node strength</m:t>
          </m:r>
          <m:r>
            <w:rPr>
              <w:rFonts w:ascii="Cambria Math" w:hAnsi="Cambria Math" w:cs="Arial"/>
            </w:rPr>
            <m:t>(i)=</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rsidR="00EC5802" w:rsidRDefault="00EC5802" w:rsidP="00EC5802">
      <w:pPr>
        <w:spacing w:line="480" w:lineRule="auto"/>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rank reflects the importance of a given cell in co-activating with other cells.</w:t>
      </w:r>
    </w:p>
    <w:p w:rsidR="00EC5802" w:rsidRPr="008F2764" w:rsidRDefault="00EC5802" w:rsidP="00EC5802">
      <w:pPr>
        <w:spacing w:line="480" w:lineRule="auto"/>
        <w:jc w:val="both"/>
        <w:rPr>
          <w:rFonts w:ascii="Arial" w:hAnsi="Arial" w:cs="Arial"/>
          <w:b/>
        </w:rPr>
      </w:pPr>
      <w:r w:rsidRPr="008F2764">
        <w:rPr>
          <w:rFonts w:ascii="Arial" w:hAnsi="Arial" w:cs="Arial"/>
          <w:b/>
        </w:rPr>
        <w:t>Graph properties</w:t>
      </w:r>
    </w:p>
    <w:p w:rsidR="00EC5802" w:rsidRDefault="00EC5802" w:rsidP="00EC5802">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rsidR="00EC5802" w:rsidRPr="00193B06" w:rsidRDefault="00EC5802" w:rsidP="00EC5802">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rsidR="00EC5802" w:rsidRDefault="00EC5802" w:rsidP="00EC5802">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rsidR="00EC5802" w:rsidRDefault="00EC5802" w:rsidP="00EC5802">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Pr>
          <w:rFonts w:ascii="Arial" w:hAnsi="Arial" w:cs="Arial"/>
        </w:rPr>
        <w:t>.</w:t>
      </w:r>
    </w:p>
    <w:p w:rsidR="00EC5802" w:rsidRDefault="00EC5802" w:rsidP="00EC5802">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rsidR="00EC5802" w:rsidRDefault="00EC5802" w:rsidP="00EC5802">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rsidR="00EC5802" w:rsidRDefault="00EC5802" w:rsidP="00EC5802">
      <w:pPr>
        <w:spacing w:line="480" w:lineRule="auto"/>
        <w:rPr>
          <w:rFonts w:ascii="Arial" w:hAnsi="Arial" w:cs="Arial"/>
        </w:rPr>
      </w:pPr>
      <w:r>
        <w:rPr>
          <w:rFonts w:ascii="Arial" w:hAnsi="Arial" w:cs="Arial"/>
        </w:rPr>
        <w:t>This can be written in the form of eigenvector equation:</w:t>
      </w:r>
    </w:p>
    <w:p w:rsidR="00EC5802" w:rsidRPr="00000106" w:rsidRDefault="00EC5802" w:rsidP="00EC5802">
      <w:pPr>
        <w:spacing w:line="480" w:lineRule="auto"/>
        <w:rPr>
          <w:rFonts w:ascii="Arial" w:hAnsi="Arial" w:cs="Arial"/>
        </w:rPr>
      </w:pPr>
      <m:oMathPara>
        <m:oMath>
          <m:r>
            <m:rPr>
              <m:sty m:val="p"/>
            </m:rPr>
            <w:rPr>
              <w:rFonts w:ascii="Cambria Math" w:hAnsi="Cambria Math" w:cs="Arial"/>
            </w:rPr>
            <w:lastRenderedPageBreak/>
            <m:t>Ax</m:t>
          </m:r>
          <m:r>
            <w:rPr>
              <w:rFonts w:ascii="Cambria Math" w:hAnsi="Cambria Math" w:cs="Arial"/>
            </w:rPr>
            <m:t>=λ</m:t>
          </m:r>
          <m:r>
            <m:rPr>
              <m:sty m:val="p"/>
            </m:rPr>
            <w:rPr>
              <w:rFonts w:ascii="Cambria Math" w:hAnsi="Cambria Math" w:cs="Arial"/>
            </w:rPr>
            <m:t>x</m:t>
          </m:r>
        </m:oMath>
      </m:oMathPara>
    </w:p>
    <w:p w:rsidR="00EC5802" w:rsidRDefault="00EC5802" w:rsidP="00E34EC8">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 .</w:t>
      </w:r>
    </w:p>
    <w:p w:rsidR="00EC5802" w:rsidRDefault="00EC5802" w:rsidP="00E34EC8">
      <w:pPr>
        <w:spacing w:line="480" w:lineRule="auto"/>
        <w:rPr>
          <w:rFonts w:ascii="Arial" w:hAnsi="Arial" w:cs="Arial"/>
        </w:rPr>
      </w:pPr>
    </w:p>
    <w:p w:rsidR="0013118F" w:rsidRPr="0013118F" w:rsidRDefault="0013118F" w:rsidP="00E34EC8">
      <w:pPr>
        <w:spacing w:line="480" w:lineRule="auto"/>
        <w:rPr>
          <w:rFonts w:ascii="Arial" w:hAnsi="Arial" w:cs="Arial"/>
          <w:b/>
        </w:rPr>
      </w:pPr>
      <w:r w:rsidRPr="0013118F">
        <w:rPr>
          <w:rFonts w:ascii="Arial" w:hAnsi="Arial" w:cs="Arial"/>
          <w:b/>
        </w:rPr>
        <w:t>QUANTIFICATION AND STATISTICAL ANALYSIS</w:t>
      </w:r>
    </w:p>
    <w:p w:rsidR="0013118F" w:rsidRDefault="007820D8" w:rsidP="00E34EC8">
      <w:pPr>
        <w:spacing w:line="480" w:lineRule="auto"/>
        <w:rPr>
          <w:rFonts w:ascii="Arial" w:hAnsi="Arial" w:cs="Arial"/>
        </w:rPr>
      </w:pPr>
      <w:r>
        <w:rPr>
          <w:rFonts w:ascii="Arial" w:hAnsi="Arial" w:cs="Arial"/>
        </w:rPr>
        <w:t xml:space="preserve">CRF models were trained using the Columbia Yeti </w:t>
      </w:r>
      <w:r w:rsidR="000D30C9">
        <w:rPr>
          <w:rFonts w:ascii="Arial" w:hAnsi="Arial" w:cs="Arial"/>
        </w:rPr>
        <w:t xml:space="preserve">shared </w:t>
      </w:r>
      <w:r>
        <w:rPr>
          <w:rFonts w:ascii="Arial" w:hAnsi="Arial" w:cs="Arial"/>
        </w:rPr>
        <w:t xml:space="preserve">HPC </w:t>
      </w:r>
      <w:r w:rsidR="000D30C9">
        <w:rPr>
          <w:rFonts w:ascii="Arial" w:hAnsi="Arial" w:cs="Arial"/>
        </w:rPr>
        <w:t>cluster.</w:t>
      </w:r>
      <w:r>
        <w:rPr>
          <w:rFonts w:ascii="Arial" w:hAnsi="Arial" w:cs="Arial"/>
        </w:rPr>
        <w:t xml:space="preserve"> </w:t>
      </w:r>
      <w:r w:rsidR="00E34EC8">
        <w:rPr>
          <w:rFonts w:ascii="Arial" w:hAnsi="Arial" w:cs="Arial"/>
        </w:rPr>
        <w:t>MATLAB R2016a</w:t>
      </w:r>
      <w:r w:rsidR="00D30270">
        <w:rPr>
          <w:rFonts w:ascii="Arial" w:hAnsi="Arial" w:cs="Arial"/>
        </w:rPr>
        <w:t xml:space="preserve"> (MathWorks) were used for data analysis. </w:t>
      </w:r>
      <w:r w:rsidR="0077108A">
        <w:rPr>
          <w:rFonts w:ascii="Arial" w:hAnsi="Arial" w:cs="Arial"/>
        </w:rPr>
        <w:t>Statistical details</w:t>
      </w:r>
      <w:r w:rsidR="00BE4C01">
        <w:rPr>
          <w:rFonts w:ascii="Arial" w:hAnsi="Arial" w:cs="Arial"/>
        </w:rPr>
        <w:t xml:space="preserve"> of each specific experiments</w:t>
      </w:r>
      <w:r w:rsidR="0077108A">
        <w:rPr>
          <w:rFonts w:ascii="Arial" w:hAnsi="Arial" w:cs="Arial"/>
        </w:rPr>
        <w:t>, in</w:t>
      </w:r>
      <w:r w:rsidR="004A3F24">
        <w:rPr>
          <w:rFonts w:ascii="Arial" w:hAnsi="Arial" w:cs="Arial"/>
        </w:rPr>
        <w:t>cluding the statistical methods,</w:t>
      </w:r>
      <w:r w:rsidR="0077108A">
        <w:rPr>
          <w:rFonts w:ascii="Arial" w:hAnsi="Arial" w:cs="Arial"/>
        </w:rPr>
        <w:t xml:space="preserve"> the meaning and value of n, and the significance level can be found in figure legends.</w:t>
      </w:r>
    </w:p>
    <w:p w:rsidR="0013118F" w:rsidRDefault="0013118F" w:rsidP="00E34EC8">
      <w:pPr>
        <w:spacing w:line="480" w:lineRule="auto"/>
        <w:rPr>
          <w:rFonts w:ascii="Arial" w:hAnsi="Arial" w:cs="Arial"/>
        </w:rPr>
      </w:pPr>
    </w:p>
    <w:p w:rsidR="0013118F" w:rsidRPr="0013118F" w:rsidRDefault="0013118F" w:rsidP="00E34EC8">
      <w:pPr>
        <w:spacing w:line="480" w:lineRule="auto"/>
        <w:rPr>
          <w:rFonts w:ascii="Arial" w:hAnsi="Arial" w:cs="Arial"/>
          <w:b/>
        </w:rPr>
      </w:pPr>
      <w:r w:rsidRPr="0013118F">
        <w:rPr>
          <w:rFonts w:ascii="Arial" w:hAnsi="Arial" w:cs="Arial"/>
          <w:b/>
        </w:rPr>
        <w:t>DATA AND SOFTWARE AVAILABILITY</w:t>
      </w:r>
    </w:p>
    <w:p w:rsidR="00E60C44" w:rsidRDefault="00E60C44" w:rsidP="00E60C44">
      <w:pPr>
        <w:spacing w:line="480" w:lineRule="auto"/>
        <w:jc w:val="both"/>
        <w:rPr>
          <w:rFonts w:ascii="Arial" w:hAnsi="Arial" w:cs="Arial"/>
        </w:rPr>
      </w:pPr>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10" w:tooltip="Carrillo-Reid, 2016 #73" w:history="1">
        <w:r>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p>
    <w:p w:rsidR="00E60C44" w:rsidRDefault="00E60C44" w:rsidP="00E60C44">
      <w:pPr>
        <w:spacing w:line="480" w:lineRule="auto"/>
        <w:ind w:firstLine="720"/>
        <w:jc w:val="both"/>
        <w:rPr>
          <w:rFonts w:ascii="Arial" w:hAnsi="Arial" w:cs="Arial"/>
        </w:rPr>
      </w:pPr>
      <w:r>
        <w:rPr>
          <w:rFonts w:ascii="Arial" w:hAnsi="Arial" w:cs="Arial"/>
        </w:rPr>
        <w:t>We also used a publicly available dataset from the Allen Brain Observatory (</w:t>
      </w:r>
      <w:hyperlink r:id="rId6" w:history="1">
        <w:r w:rsidRPr="0099296E">
          <w:rPr>
            <w:rStyle w:val="Hyperlink"/>
            <w:rFonts w:ascii="Arial" w:hAnsi="Arial" w:cs="Arial"/>
          </w:rPr>
          <w:t>http://observatory.brain-map.org/visualcoding</w:t>
        </w:r>
      </w:hyperlink>
      <w:r>
        <w:rPr>
          <w:rFonts w:ascii="Arial" w:hAnsi="Arial" w:cs="Arial"/>
        </w:rPr>
        <w:t>) along with the SDK for extracting related information (</w:t>
      </w:r>
      <w:hyperlink r:id="rId7" w:history="1">
        <w:r w:rsidRPr="0099296E">
          <w:rPr>
            <w:rStyle w:val="Hyperlink"/>
            <w:rFonts w:ascii="Arial" w:hAnsi="Arial" w:cs="Arial"/>
          </w:rPr>
          <w:t>http://alleninstitute.github.io/AllenSDK/</w:t>
        </w:r>
      </w:hyperlink>
      <w:r>
        <w:rPr>
          <w:rFonts w:ascii="Arial" w:hAnsi="Arial" w:cs="Arial"/>
        </w:rPr>
        <w:t xml:space="preserve">) by Allen Institute of Brain Science. The experiments IDs are: 511507650, 511509529, 511510650, 511510670, 511510718, and 511510855. </w:t>
      </w:r>
    </w:p>
    <w:p w:rsidR="00A57ED0" w:rsidRPr="00B75225" w:rsidRDefault="00A57ED0" w:rsidP="00E60C44">
      <w:pPr>
        <w:spacing w:line="480" w:lineRule="auto"/>
        <w:ind w:firstLine="720"/>
        <w:jc w:val="both"/>
        <w:rPr>
          <w:rFonts w:ascii="Arial" w:hAnsi="Arial" w:cs="Arial"/>
        </w:rPr>
      </w:pPr>
      <w:r>
        <w:rPr>
          <w:rFonts w:ascii="Arial" w:hAnsi="Arial" w:cs="Arial"/>
        </w:rPr>
        <w:t xml:space="preserve">All </w:t>
      </w:r>
      <w:r w:rsidR="00825A8D">
        <w:rPr>
          <w:rFonts w:ascii="Arial" w:hAnsi="Arial" w:cs="Arial"/>
        </w:rPr>
        <w:t xml:space="preserve">data processing, </w:t>
      </w:r>
      <w:r w:rsidR="00CB25F5">
        <w:rPr>
          <w:rFonts w:ascii="Arial" w:hAnsi="Arial" w:cs="Arial"/>
        </w:rPr>
        <w:t>analysis</w:t>
      </w:r>
      <w:r w:rsidR="00825A8D">
        <w:rPr>
          <w:rFonts w:ascii="Arial" w:hAnsi="Arial" w:cs="Arial"/>
        </w:rPr>
        <w:t xml:space="preserve"> and plotting</w:t>
      </w:r>
      <w:r>
        <w:rPr>
          <w:rFonts w:ascii="Arial" w:hAnsi="Arial" w:cs="Arial"/>
        </w:rPr>
        <w:t xml:space="preserve"> code in this paper can be found at </w:t>
      </w:r>
      <w:hyperlink r:id="rId8" w:history="1">
        <w:r w:rsidRPr="00761A55">
          <w:rPr>
            <w:rStyle w:val="Hyperlink"/>
            <w:rFonts w:ascii="Arial" w:hAnsi="Arial" w:cs="Arial"/>
          </w:rPr>
          <w:t>https://github.com/hanshuting/graph_ensemble</w:t>
        </w:r>
      </w:hyperlink>
      <w:r>
        <w:rPr>
          <w:rFonts w:ascii="Arial" w:hAnsi="Arial" w:cs="Arial"/>
        </w:rPr>
        <w:t xml:space="preserve">. </w:t>
      </w:r>
    </w:p>
    <w:p w:rsidR="00C64AC8" w:rsidRDefault="00C64AC8" w:rsidP="00E34EC8">
      <w:pPr>
        <w:spacing w:line="480" w:lineRule="auto"/>
      </w:pPr>
    </w:p>
    <w:sectPr w:rsidR="00C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02"/>
    <w:rsid w:val="000271EC"/>
    <w:rsid w:val="00074A6F"/>
    <w:rsid w:val="000D30C9"/>
    <w:rsid w:val="00125AEE"/>
    <w:rsid w:val="0013118F"/>
    <w:rsid w:val="00191795"/>
    <w:rsid w:val="00262962"/>
    <w:rsid w:val="002819C9"/>
    <w:rsid w:val="00285121"/>
    <w:rsid w:val="00311C6A"/>
    <w:rsid w:val="00366A82"/>
    <w:rsid w:val="003C28A6"/>
    <w:rsid w:val="00417428"/>
    <w:rsid w:val="004A3F24"/>
    <w:rsid w:val="004B7E05"/>
    <w:rsid w:val="005B56D0"/>
    <w:rsid w:val="0066681A"/>
    <w:rsid w:val="0075644B"/>
    <w:rsid w:val="0077108A"/>
    <w:rsid w:val="007820D8"/>
    <w:rsid w:val="00812E12"/>
    <w:rsid w:val="00825A8D"/>
    <w:rsid w:val="00843C25"/>
    <w:rsid w:val="00857753"/>
    <w:rsid w:val="008A5937"/>
    <w:rsid w:val="008E5976"/>
    <w:rsid w:val="008F2764"/>
    <w:rsid w:val="009620FA"/>
    <w:rsid w:val="00A57ED0"/>
    <w:rsid w:val="00A62A5D"/>
    <w:rsid w:val="00A70B22"/>
    <w:rsid w:val="00A9506F"/>
    <w:rsid w:val="00AA252E"/>
    <w:rsid w:val="00B0591D"/>
    <w:rsid w:val="00BE4C01"/>
    <w:rsid w:val="00C64AC8"/>
    <w:rsid w:val="00CB25F5"/>
    <w:rsid w:val="00CD5984"/>
    <w:rsid w:val="00CE0697"/>
    <w:rsid w:val="00D07D7F"/>
    <w:rsid w:val="00D17C57"/>
    <w:rsid w:val="00D30270"/>
    <w:rsid w:val="00D331F7"/>
    <w:rsid w:val="00D41F46"/>
    <w:rsid w:val="00E04B59"/>
    <w:rsid w:val="00E13D44"/>
    <w:rsid w:val="00E34EC8"/>
    <w:rsid w:val="00E60C44"/>
    <w:rsid w:val="00E74274"/>
    <w:rsid w:val="00E849D4"/>
    <w:rsid w:val="00EB6311"/>
    <w:rsid w:val="00EC2E70"/>
    <w:rsid w:val="00EC5802"/>
    <w:rsid w:val="00F15DF7"/>
    <w:rsid w:val="00FC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32DE4-714F-4356-B57E-B1A73AA3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02"/>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5802"/>
    <w:rPr>
      <w:sz w:val="18"/>
      <w:szCs w:val="18"/>
    </w:rPr>
  </w:style>
  <w:style w:type="paragraph" w:styleId="CommentText">
    <w:name w:val="annotation text"/>
    <w:basedOn w:val="Normal"/>
    <w:link w:val="CommentTextChar"/>
    <w:uiPriority w:val="99"/>
    <w:semiHidden/>
    <w:unhideWhenUsed/>
    <w:rsid w:val="00EC5802"/>
  </w:style>
  <w:style w:type="character" w:customStyle="1" w:styleId="CommentTextChar">
    <w:name w:val="Comment Text Char"/>
    <w:basedOn w:val="DefaultParagraphFont"/>
    <w:link w:val="CommentText"/>
    <w:uiPriority w:val="99"/>
    <w:semiHidden/>
    <w:rsid w:val="00EC5802"/>
    <w:rPr>
      <w:sz w:val="24"/>
      <w:szCs w:val="24"/>
      <w:lang w:eastAsia="en-US"/>
    </w:rPr>
  </w:style>
  <w:style w:type="character" w:styleId="Hyperlink">
    <w:name w:val="Hyperlink"/>
    <w:basedOn w:val="DefaultParagraphFont"/>
    <w:uiPriority w:val="99"/>
    <w:unhideWhenUsed/>
    <w:rsid w:val="00EC5802"/>
    <w:rPr>
      <w:color w:val="0563C1" w:themeColor="hyperlink"/>
      <w:u w:val="single"/>
    </w:rPr>
  </w:style>
  <w:style w:type="paragraph" w:styleId="BalloonText">
    <w:name w:val="Balloon Text"/>
    <w:basedOn w:val="Normal"/>
    <w:link w:val="BalloonTextChar"/>
    <w:uiPriority w:val="99"/>
    <w:semiHidden/>
    <w:unhideWhenUsed/>
    <w:rsid w:val="00EC5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02"/>
    <w:rPr>
      <w:rFonts w:ascii="Segoe UI" w:hAnsi="Segoe UI" w:cs="Segoe UI"/>
      <w:sz w:val="18"/>
      <w:szCs w:val="18"/>
      <w:lang w:eastAsia="en-US"/>
    </w:rPr>
  </w:style>
  <w:style w:type="character" w:styleId="PlaceholderText">
    <w:name w:val="Placeholder Text"/>
    <w:basedOn w:val="DefaultParagraphFont"/>
    <w:uiPriority w:val="99"/>
    <w:semiHidden/>
    <w:rsid w:val="00D33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shuting/graph_ensemble" TargetMode="External"/><Relationship Id="rId3" Type="http://schemas.openxmlformats.org/officeDocument/2006/relationships/webSettings" Target="webSettings.xml"/><Relationship Id="rId7" Type="http://schemas.openxmlformats.org/officeDocument/2006/relationships/hyperlink" Target="http://alleninstitute.github.io/AllenS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bservatory.brain-map.org/visualcoding" TargetMode="External"/><Relationship Id="rId5" Type="http://schemas.openxmlformats.org/officeDocument/2006/relationships/hyperlink" Target="mailto:lc2998@columbia.edu" TargetMode="External"/><Relationship Id="rId10" Type="http://schemas.openxmlformats.org/officeDocument/2006/relationships/theme" Target="theme/theme1.xml"/><Relationship Id="rId4" Type="http://schemas.openxmlformats.org/officeDocument/2006/relationships/hyperlink" Target="https://github.com/kuitang/fwmatch-publi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54</cp:revision>
  <dcterms:created xsi:type="dcterms:W3CDTF">2017-01-17T20:03:00Z</dcterms:created>
  <dcterms:modified xsi:type="dcterms:W3CDTF">2017-01-17T22:58:00Z</dcterms:modified>
</cp:coreProperties>
</file>