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Times New Roman" w:hAnsi="Times New Roman" w:cs="Times New Roman" w:eastAsia="Times New Roman"/>
          <w:b/>
          <w:bCs/>
          <w:sz w:val="30"/>
          <w:szCs w:val="30"/>
        </w:rPr>
        <w:t xml:space="preserve">PILOT SERVICE AGREEMENT</w:t>
      </w:r>
    </w:p>
    <w:p>
      <w:pPr>
        <w:spacing w:after="60"/>
      </w:pPr>
      <w:r>
        <w:rPr>
          <w:rFonts w:ascii="Times New Roman" w:hAnsi="Times New Roman" w:cs="Times New Roman" w:eastAsia="Times New Roman"/>
          <w:color w:val="555555"/>
          <w:sz w:val="22"/>
          <w:szCs w:val="22"/>
        </w:rPr>
        <w:t xml:space="preserve">Google Ads management, 60-day pilot</w:t>
      </w:r>
    </w:p>
    <w:p>
      <w:pPr>
        <w:pBdr>
          <w:bottom w:val="single" w:color="000000" w:sz="8" w:space="4"/>
        </w:pBdr>
        <w:spacing w:after="200"/>
      </w:pPr>
      <w:r>
        <w:rPr>
          <w:rFonts w:ascii="Times New Roman" w:hAnsi="Times New Roman" w:cs="Times New Roman" w:eastAsia="Times New Roman"/>
          <w:sz w:val="22"/>
          <w:szCs w:val="22"/>
        </w:rPr>
        <w:t xml:space="preserve">Between Monarc Build LLC (“Monarc”) and ______________________________ (“Client”). Effective on the date of the last signature below.</w:t>
      </w:r>
    </w:p>
    <w:p>
      <w:pPr>
        <w:spacing w:after="80" w:before="200"/>
      </w:pPr>
      <w:r>
        <w:rPr>
          <w:rFonts w:ascii="Times New Roman" w:hAnsi="Times New Roman" w:cs="Times New Roman" w:eastAsia="Times New Roman"/>
          <w:b/>
          <w:bCs/>
          <w:sz w:val="22"/>
          <w:szCs w:val="22"/>
        </w:rPr>
        <w:t xml:space="preserve">1. Scope</w:t>
      </w:r>
    </w:p>
    <w:p>
      <w:pPr>
        <w:spacing w:after="60" w:line="276"/>
      </w:pPr>
      <w:r>
        <w:rPr>
          <w:rFonts w:ascii="Times New Roman" w:hAnsi="Times New Roman" w:cs="Times New Roman" w:eastAsia="Times New Roman"/>
          <w:b w:val="false"/>
          <w:bCs w:val="false"/>
          <w:sz w:val="22"/>
          <w:szCs w:val="22"/>
        </w:rPr>
        <w:t xml:space="preserve">Monarc will:</w:t>
      </w:r>
    </w:p>
    <w:p>
      <w:pPr>
        <w:pStyle w:val="ListParagraph"/>
        <w:numPr>
          <w:ilvl w:val="0"/>
          <w:numId w:val="2"/>
        </w:numPr>
        <w:spacing w:after="60" w:line="276"/>
      </w:pPr>
      <w:r>
        <w:rPr>
          <w:rFonts w:ascii="Times New Roman" w:hAnsi="Times New Roman" w:cs="Times New Roman" w:eastAsia="Times New Roman"/>
          <w:b w:val="false"/>
          <w:bCs w:val="false"/>
          <w:sz w:val="22"/>
          <w:szCs w:val="22"/>
        </w:rPr>
        <w:t xml:space="preserve">Rebuild the Google Ads campaigns around high-intent keywords</w:t>
      </w:r>
    </w:p>
    <w:p>
      <w:pPr>
        <w:pStyle w:val="ListParagraph"/>
        <w:numPr>
          <w:ilvl w:val="0"/>
          <w:numId w:val="2"/>
        </w:numPr>
        <w:spacing w:after="60" w:line="276"/>
      </w:pPr>
      <w:r>
        <w:rPr>
          <w:rFonts w:ascii="Times New Roman" w:hAnsi="Times New Roman" w:cs="Times New Roman" w:eastAsia="Times New Roman"/>
          <w:b w:val="false"/>
          <w:bCs w:val="false"/>
          <w:sz w:val="22"/>
          <w:szCs w:val="22"/>
        </w:rPr>
        <w:t xml:space="preserve">Cut the lead form to 3 fields and place it above the fold on the landing page</w:t>
      </w:r>
    </w:p>
    <w:p>
      <w:pPr>
        <w:pStyle w:val="ListParagraph"/>
        <w:numPr>
          <w:ilvl w:val="0"/>
          <w:numId w:val="2"/>
        </w:numPr>
        <w:spacing w:after="60" w:line="276"/>
      </w:pPr>
      <w:r>
        <w:rPr>
          <w:rFonts w:ascii="Times New Roman" w:hAnsi="Times New Roman" w:cs="Times New Roman" w:eastAsia="Times New Roman"/>
          <w:b w:val="false"/>
          <w:bCs w:val="false"/>
          <w:sz w:val="22"/>
          <w:szCs w:val="22"/>
        </w:rPr>
        <w:t xml:space="preserve">Match landing page copy to the target searches</w:t>
      </w:r>
    </w:p>
    <w:p>
      <w:pPr>
        <w:pStyle w:val="ListParagraph"/>
        <w:numPr>
          <w:ilvl w:val="0"/>
          <w:numId w:val="2"/>
        </w:numPr>
        <w:spacing w:after="60" w:line="276"/>
      </w:pPr>
      <w:r>
        <w:rPr>
          <w:rFonts w:ascii="Times New Roman" w:hAnsi="Times New Roman" w:cs="Times New Roman" w:eastAsia="Times New Roman"/>
          <w:b w:val="false"/>
          <w:bCs w:val="false"/>
          <w:sz w:val="22"/>
          <w:szCs w:val="22"/>
        </w:rPr>
        <w:t xml:space="preserve">Tag every form fill and booking with the keyword and campaign it came from</w:t>
      </w:r>
    </w:p>
    <w:p>
      <w:pPr>
        <w:pStyle w:val="ListParagraph"/>
        <w:numPr>
          <w:ilvl w:val="0"/>
          <w:numId w:val="2"/>
        </w:numPr>
        <w:spacing w:after="60" w:line="276"/>
      </w:pPr>
      <w:r>
        <w:rPr>
          <w:rFonts w:ascii="Times New Roman" w:hAnsi="Times New Roman" w:cs="Times New Roman" w:eastAsia="Times New Roman"/>
          <w:b w:val="false"/>
          <w:bCs w:val="false"/>
          <w:sz w:val="22"/>
          <w:szCs w:val="22"/>
        </w:rPr>
        <w:t xml:space="preserve">Diagnose impression share and report whether budget or ad rank is the limit</w:t>
      </w:r>
    </w:p>
    <w:p>
      <w:pPr>
        <w:pStyle w:val="ListParagraph"/>
        <w:numPr>
          <w:ilvl w:val="0"/>
          <w:numId w:val="2"/>
        </w:numPr>
        <w:spacing w:after="60" w:line="276"/>
      </w:pPr>
      <w:r>
        <w:rPr>
          <w:rFonts w:ascii="Times New Roman" w:hAnsi="Times New Roman" w:cs="Times New Roman" w:eastAsia="Times New Roman"/>
          <w:b w:val="false"/>
          <w:bCs w:val="false"/>
          <w:sz w:val="22"/>
          <w:szCs w:val="22"/>
        </w:rPr>
        <w:t xml:space="preserve">Send a monthly report: spend, leads by source, cost per lead</w:t>
      </w:r>
    </w:p>
    <w:p>
      <w:pPr>
        <w:spacing w:after="80" w:before="200"/>
      </w:pPr>
      <w:r>
        <w:rPr>
          <w:rFonts w:ascii="Times New Roman" w:hAnsi="Times New Roman" w:cs="Times New Roman" w:eastAsia="Times New Roman"/>
          <w:b/>
          <w:bCs/>
          <w:sz w:val="22"/>
          <w:szCs w:val="22"/>
        </w:rPr>
        <w:t xml:space="preserve">2. Pilot term</w:t>
      </w:r>
    </w:p>
    <w:p>
      <w:pPr>
        <w:spacing w:after="120" w:line="276"/>
      </w:pPr>
      <w:r>
        <w:rPr>
          <w:rFonts w:ascii="Times New Roman" w:hAnsi="Times New Roman" w:cs="Times New Roman" w:eastAsia="Times New Roman"/>
          <w:b w:val="false"/>
          <w:bCs w:val="false"/>
          <w:sz w:val="22"/>
          <w:szCs w:val="22"/>
        </w:rPr>
        <w:t xml:space="preserve">60 days, starting the day Client completes the access in Section 6. The pilot is a fixed commitment. Neither party may cancel it early.</w:t>
      </w:r>
    </w:p>
    <w:p>
      <w:pPr>
        <w:spacing w:after="80" w:before="200"/>
      </w:pPr>
      <w:r>
        <w:rPr>
          <w:rFonts w:ascii="Times New Roman" w:hAnsi="Times New Roman" w:cs="Times New Roman" w:eastAsia="Times New Roman"/>
          <w:b/>
          <w:bCs/>
          <w:sz w:val="22"/>
          <w:szCs w:val="22"/>
        </w:rPr>
        <w:t xml:space="preserve">3. Pilot fees</w:t>
      </w:r>
    </w:p>
    <w:p>
      <w:pPr>
        <w:pStyle w:val="ListParagraph"/>
        <w:numPr>
          <w:ilvl w:val="0"/>
          <w:numId w:val="2"/>
        </w:numPr>
        <w:spacing w:after="60" w:line="276"/>
      </w:pPr>
      <w:r>
        <w:rPr>
          <w:rFonts w:ascii="Times New Roman" w:hAnsi="Times New Roman" w:cs="Times New Roman" w:eastAsia="Times New Roman"/>
          <w:b w:val="false"/>
          <w:bCs w:val="false"/>
          <w:sz w:val="22"/>
          <w:szCs w:val="22"/>
        </w:rPr>
        <w:t xml:space="preserve">Management fee: $2,000 per month</w:t>
      </w:r>
    </w:p>
    <w:p>
      <w:pPr>
        <w:pStyle w:val="ListParagraph"/>
        <w:numPr>
          <w:ilvl w:val="0"/>
          <w:numId w:val="2"/>
        </w:numPr>
        <w:spacing w:after="60" w:line="276"/>
      </w:pPr>
      <w:r>
        <w:rPr>
          <w:rFonts w:ascii="Times New Roman" w:hAnsi="Times New Roman" w:cs="Times New Roman" w:eastAsia="Times New Roman"/>
          <w:b w:val="false"/>
          <w:bCs w:val="false"/>
          <w:sz w:val="22"/>
          <w:szCs w:val="22"/>
        </w:rPr>
        <w:t xml:space="preserve">Ad spend: $2,000 per month, paid by Client directly to Google</w:t>
      </w:r>
    </w:p>
    <w:p>
      <w:pPr>
        <w:pStyle w:val="ListParagraph"/>
        <w:numPr>
          <w:ilvl w:val="0"/>
          <w:numId w:val="2"/>
        </w:numPr>
        <w:spacing w:after="60" w:line="276"/>
      </w:pPr>
      <w:r>
        <w:rPr>
          <w:rFonts w:ascii="Times New Roman" w:hAnsi="Times New Roman" w:cs="Times New Roman" w:eastAsia="Times New Roman"/>
          <w:b w:val="false"/>
          <w:bCs w:val="false"/>
          <w:sz w:val="22"/>
          <w:szCs w:val="22"/>
        </w:rPr>
        <w:t xml:space="preserve">Monarc match: $1,000 per month, applied as a credit against the management fee for both pilot months</w:t>
      </w:r>
    </w:p>
    <w:p>
      <w:pPr>
        <w:pStyle w:val="ListParagraph"/>
        <w:numPr>
          <w:ilvl w:val="0"/>
          <w:numId w:val="2"/>
        </w:numPr>
        <w:spacing w:after="60" w:line="276"/>
      </w:pPr>
      <w:r>
        <w:rPr>
          <w:rFonts w:ascii="Times New Roman" w:hAnsi="Times New Roman" w:cs="Times New Roman" w:eastAsia="Times New Roman"/>
          <w:b w:val="false"/>
          <w:bCs w:val="false"/>
          <w:sz w:val="22"/>
          <w:szCs w:val="22"/>
        </w:rPr>
        <w:t xml:space="preserve">Client pays $1,000 per month to Monarc and $2,000 per month to Google. Total: $3,000 per month, $6,000 for the pilot</w:t>
      </w:r>
    </w:p>
    <w:p>
      <w:pPr>
        <w:spacing w:after="80" w:before="200"/>
      </w:pPr>
      <w:r>
        <w:rPr>
          <w:rFonts w:ascii="Times New Roman" w:hAnsi="Times New Roman" w:cs="Times New Roman" w:eastAsia="Times New Roman"/>
          <w:b/>
          <w:bCs/>
          <w:sz w:val="22"/>
          <w:szCs w:val="22"/>
        </w:rPr>
        <w:t xml:space="preserve">4. After the pilot</w:t>
      </w:r>
    </w:p>
    <w:p>
      <w:pPr>
        <w:spacing w:after="120" w:line="276"/>
      </w:pPr>
      <w:r>
        <w:rPr>
          <w:rFonts w:ascii="Times New Roman" w:hAnsi="Times New Roman" w:cs="Times New Roman" w:eastAsia="Times New Roman"/>
          <w:b w:val="false"/>
          <w:bCs w:val="false"/>
          <w:sz w:val="22"/>
          <w:szCs w:val="22"/>
        </w:rPr>
        <w:t xml:space="preserve">The agreement continues month to month at $2,500 per month management plus a $2,000 per month minimum ad spend paid by Client to Google. Either party may cancel with 30 days written notice.</w:t>
      </w:r>
    </w:p>
    <w:p>
      <w:pPr>
        <w:spacing w:after="80" w:before="200"/>
      </w:pPr>
      <w:r>
        <w:rPr>
          <w:rFonts w:ascii="Times New Roman" w:hAnsi="Times New Roman" w:cs="Times New Roman" w:eastAsia="Times New Roman"/>
          <w:b/>
          <w:bCs/>
          <w:sz w:val="22"/>
          <w:szCs w:val="22"/>
        </w:rPr>
        <w:t xml:space="preserve">5. Onboarding fee</w:t>
      </w:r>
    </w:p>
    <w:p>
      <w:pPr>
        <w:spacing w:after="120" w:line="276"/>
      </w:pPr>
      <w:r>
        <w:rPr>
          <w:rFonts w:ascii="Times New Roman" w:hAnsi="Times New Roman" w:cs="Times New Roman" w:eastAsia="Times New Roman"/>
          <w:b w:val="false"/>
          <w:bCs w:val="false"/>
          <w:sz w:val="22"/>
          <w:szCs w:val="22"/>
        </w:rPr>
        <w:t xml:space="preserve">$3,000. Waived if Client signs on or before September 30, 2026.</w:t>
      </w:r>
    </w:p>
    <w:p>
      <w:pPr>
        <w:spacing w:after="80" w:before="200"/>
      </w:pPr>
      <w:r>
        <w:rPr>
          <w:rFonts w:ascii="Times New Roman" w:hAnsi="Times New Roman" w:cs="Times New Roman" w:eastAsia="Times New Roman"/>
          <w:b/>
          <w:bCs/>
          <w:sz w:val="22"/>
          <w:szCs w:val="22"/>
        </w:rPr>
        <w:t xml:space="preserve">6. Access</w:t>
      </w:r>
    </w:p>
    <w:p>
      <w:pPr>
        <w:spacing w:after="120" w:line="276"/>
      </w:pPr>
      <w:r>
        <w:rPr>
          <w:rFonts w:ascii="Times New Roman" w:hAnsi="Times New Roman" w:cs="Times New Roman" w:eastAsia="Times New Roman"/>
          <w:b w:val="false"/>
          <w:bCs w:val="false"/>
          <w:sz w:val="22"/>
          <w:szCs w:val="22"/>
        </w:rPr>
        <w:t xml:space="preserve">Within 5 business days of signing, Client gives Monarc admin access to Google Ads, Google Analytics, the website and hosting, and the CRM or lead inbox. The pilot clock starts when access is complete.</w:t>
      </w:r>
    </w:p>
    <w:p>
      <w:pPr>
        <w:spacing w:after="80" w:before="200"/>
      </w:pPr>
      <w:r>
        <w:rPr>
          <w:rFonts w:ascii="Times New Roman" w:hAnsi="Times New Roman" w:cs="Times New Roman" w:eastAsia="Times New Roman"/>
          <w:b/>
          <w:bCs/>
          <w:sz w:val="22"/>
          <w:szCs w:val="22"/>
        </w:rPr>
        <w:t xml:space="preserve">7. Client responsibilities</w:t>
      </w:r>
    </w:p>
    <w:p>
      <w:pPr>
        <w:pStyle w:val="ListParagraph"/>
        <w:numPr>
          <w:ilvl w:val="0"/>
          <w:numId w:val="2"/>
        </w:numPr>
        <w:spacing w:after="60" w:line="276"/>
      </w:pPr>
      <w:r>
        <w:rPr>
          <w:rFonts w:ascii="Times New Roman" w:hAnsi="Times New Roman" w:cs="Times New Roman" w:eastAsia="Times New Roman"/>
          <w:b w:val="false"/>
          <w:bCs w:val="false"/>
          <w:sz w:val="22"/>
          <w:szCs w:val="22"/>
        </w:rPr>
        <w:t xml:space="preserve">Respond to every lead within one business day</w:t>
      </w:r>
    </w:p>
    <w:p>
      <w:pPr>
        <w:pStyle w:val="ListParagraph"/>
        <w:numPr>
          <w:ilvl w:val="0"/>
          <w:numId w:val="2"/>
        </w:numPr>
        <w:spacing w:after="60" w:line="276"/>
      </w:pPr>
      <w:r>
        <w:rPr>
          <w:rFonts w:ascii="Times New Roman" w:hAnsi="Times New Roman" w:cs="Times New Roman" w:eastAsia="Times New Roman"/>
          <w:b w:val="false"/>
          <w:bCs w:val="false"/>
          <w:sz w:val="22"/>
          <w:szCs w:val="22"/>
        </w:rPr>
        <w:t xml:space="preserve">Approve copy and landing pages within 2 business days of receipt</w:t>
      </w:r>
    </w:p>
    <w:p>
      <w:pPr>
        <w:pStyle w:val="ListParagraph"/>
        <w:numPr>
          <w:ilvl w:val="0"/>
          <w:numId w:val="2"/>
        </w:numPr>
        <w:spacing w:after="60" w:line="276"/>
      </w:pPr>
      <w:r>
        <w:rPr>
          <w:rFonts w:ascii="Times New Roman" w:hAnsi="Times New Roman" w:cs="Times New Roman" w:eastAsia="Times New Roman"/>
          <w:b w:val="false"/>
          <w:bCs w:val="false"/>
          <w:sz w:val="22"/>
          <w:szCs w:val="22"/>
        </w:rPr>
        <w:t xml:space="preserve">Attend one 15-minute check-in per week</w:t>
      </w:r>
    </w:p>
    <w:p>
      <w:pPr>
        <w:pStyle w:val="ListParagraph"/>
        <w:numPr>
          <w:ilvl w:val="0"/>
          <w:numId w:val="2"/>
        </w:numPr>
        <w:spacing w:after="60" w:line="276"/>
      </w:pPr>
      <w:r>
        <w:rPr>
          <w:rFonts w:ascii="Times New Roman" w:hAnsi="Times New Roman" w:cs="Times New Roman" w:eastAsia="Times New Roman"/>
          <w:b w:val="false"/>
          <w:bCs w:val="false"/>
          <w:sz w:val="22"/>
          <w:szCs w:val="22"/>
        </w:rPr>
        <w:t xml:space="preserve">Keep a valid payment method on the Google Ads account</w:t>
      </w:r>
    </w:p>
    <w:p>
      <w:pPr>
        <w:spacing w:after="80" w:before="200"/>
      </w:pPr>
      <w:r>
        <w:rPr>
          <w:rFonts w:ascii="Times New Roman" w:hAnsi="Times New Roman" w:cs="Times New Roman" w:eastAsia="Times New Roman"/>
          <w:b/>
          <w:bCs/>
          <w:sz w:val="22"/>
          <w:szCs w:val="22"/>
        </w:rPr>
        <w:t xml:space="preserve">8. Payment</w:t>
      </w:r>
    </w:p>
    <w:p>
      <w:pPr>
        <w:spacing w:after="120" w:line="276"/>
      </w:pPr>
      <w:r>
        <w:rPr>
          <w:rFonts w:ascii="Times New Roman" w:hAnsi="Times New Roman" w:cs="Times New Roman" w:eastAsia="Times New Roman"/>
          <w:b w:val="false"/>
          <w:bCs w:val="false"/>
          <w:sz w:val="22"/>
          <w:szCs w:val="22"/>
        </w:rPr>
        <w:t xml:space="preserve">Monarc invoices the management fee on the first day of each month, due within 7 days. Work pauses if payment is more than 10 days late. Google bills ad spend to Client directly.</w:t>
      </w:r>
    </w:p>
    <w:p>
      <w:pPr>
        <w:spacing w:after="80" w:before="200"/>
      </w:pPr>
      <w:r>
        <w:rPr>
          <w:rFonts w:ascii="Times New Roman" w:hAnsi="Times New Roman" w:cs="Times New Roman" w:eastAsia="Times New Roman"/>
          <w:b/>
          <w:bCs/>
          <w:sz w:val="22"/>
          <w:szCs w:val="22"/>
        </w:rPr>
        <w:t xml:space="preserve">9. Ownership</w:t>
      </w:r>
    </w:p>
    <w:p>
      <w:pPr>
        <w:spacing w:after="120" w:line="276"/>
      </w:pPr>
      <w:r>
        <w:rPr>
          <w:rFonts w:ascii="Times New Roman" w:hAnsi="Times New Roman" w:cs="Times New Roman" w:eastAsia="Times New Roman"/>
          <w:b w:val="false"/>
          <w:bCs w:val="false"/>
          <w:sz w:val="22"/>
          <w:szCs w:val="22"/>
        </w:rPr>
        <w:t xml:space="preserve">Client owns the Google Ads account, the ad data, the lead data, and the landing pages once all fees are paid. Monarc keeps its templates, process, and tooling.</w:t>
      </w:r>
    </w:p>
    <w:p>
      <w:pPr>
        <w:spacing w:after="80" w:before="200"/>
      </w:pPr>
      <w:r>
        <w:rPr>
          <w:rFonts w:ascii="Times New Roman" w:hAnsi="Times New Roman" w:cs="Times New Roman" w:eastAsia="Times New Roman"/>
          <w:b/>
          <w:bCs/>
          <w:sz w:val="22"/>
          <w:szCs w:val="22"/>
        </w:rPr>
        <w:t xml:space="preserve">10. No guarantee</w:t>
      </w:r>
    </w:p>
    <w:p>
      <w:pPr>
        <w:spacing w:after="120" w:line="276"/>
      </w:pPr>
      <w:r>
        <w:rPr>
          <w:rFonts w:ascii="Times New Roman" w:hAnsi="Times New Roman" w:cs="Times New Roman" w:eastAsia="Times New Roman"/>
          <w:b w:val="false"/>
          <w:bCs w:val="false"/>
          <w:sz w:val="22"/>
          <w:szCs w:val="22"/>
        </w:rPr>
        <w:t xml:space="preserve">Lead volume and closed jobs depend on the market and on Client’s follow-up. Monarc does not guarantee either.</w:t>
      </w:r>
    </w:p>
    <w:p>
      <w:pPr>
        <w:spacing w:after="80" w:before="200"/>
      </w:pPr>
      <w:r>
        <w:rPr>
          <w:rFonts w:ascii="Times New Roman" w:hAnsi="Times New Roman" w:cs="Times New Roman" w:eastAsia="Times New Roman"/>
          <w:b/>
          <w:bCs/>
          <w:sz w:val="22"/>
          <w:szCs w:val="22"/>
        </w:rPr>
        <w:t xml:space="preserve">11. Confidentiality</w:t>
      </w:r>
    </w:p>
    <w:p>
      <w:pPr>
        <w:spacing w:after="120" w:line="276"/>
      </w:pPr>
      <w:r>
        <w:rPr>
          <w:rFonts w:ascii="Times New Roman" w:hAnsi="Times New Roman" w:cs="Times New Roman" w:eastAsia="Times New Roman"/>
          <w:b w:val="false"/>
          <w:bCs w:val="false"/>
          <w:sz w:val="22"/>
          <w:szCs w:val="22"/>
        </w:rPr>
        <w:t xml:space="preserve">Each party keeps the other’s business information private during and after this agreement.</w:t>
      </w:r>
    </w:p>
    <w:p>
      <w:pPr>
        <w:spacing w:after="80" w:before="200"/>
      </w:pPr>
      <w:r>
        <w:rPr>
          <w:rFonts w:ascii="Times New Roman" w:hAnsi="Times New Roman" w:cs="Times New Roman" w:eastAsia="Times New Roman"/>
          <w:b/>
          <w:bCs/>
          <w:sz w:val="22"/>
          <w:szCs w:val="22"/>
        </w:rPr>
        <w:t xml:space="preserve">12. Governing law</w:t>
      </w:r>
    </w:p>
    <w:p>
      <w:pPr>
        <w:spacing w:after="240" w:line="276"/>
      </w:pPr>
      <w:r>
        <w:rPr>
          <w:rFonts w:ascii="Times New Roman" w:hAnsi="Times New Roman" w:cs="Times New Roman" w:eastAsia="Times New Roman"/>
          <w:b w:val="false"/>
          <w:bCs w:val="false"/>
          <w:sz w:val="22"/>
          <w:szCs w:val="22"/>
        </w:rPr>
        <w:t xml:space="preserve">This agreement is governed by the laws of the State of Maryland.</w:t>
      </w:r>
    </w:p>
    <w:tbl>
      <w:tblPr>
        <w:tblW w:type="dxa" w:w="9720"/>
        <w:tblBorders>
          <w:top w:val="none" w:color="FFFFFF" w:sz="0"/>
          <w:left w:val="none" w:color="FFFFFF" w:sz="0"/>
          <w:bottom w:val="none" w:color="FFFFFF" w:sz="0"/>
          <w:right w:val="none" w:color="FFFFFF" w:sz="0"/>
          <w:insideH w:val="none" w:color="FFFFFF" w:sz="0"/>
          <w:insideV w:val="none" w:color="FFFFFF" w:sz="0"/>
        </w:tblBorders>
      </w:tblPr>
      <w:tblGrid>
        <w:gridCol w:w="4860"/>
        <w:gridCol w:w="4860"/>
      </w:tblGrid>
      <w:tr>
        <w:tc>
          <w:tcPr>
            <w:tcW w:type="dxa" w:w="4860"/>
            <w:tcBorders>
              <w:top w:val="none" w:color="FFFFFF" w:sz="0"/>
              <w:left w:val="none" w:color="FFFFFF" w:sz="0"/>
              <w:bottom w:val="none" w:color="FFFFFF" w:sz="0"/>
              <w:right w:val="none" w:color="FFFFFF" w:sz="0"/>
            </w:tcBorders>
            <w:tcMar>
              <w:top w:type="dxa" w:w="0"/>
              <w:left w:type="dxa" w:w="0"/>
              <w:bottom w:type="dxa" w:w="0"/>
              <w:right w:type="dxa" w:w="360"/>
            </w:tcMar>
          </w:tcPr>
          <w:p>
            <w:pPr>
              <w:spacing w:after="40"/>
            </w:pPr>
            <w:r>
              <w:rPr>
                <w:rFonts w:ascii="Times New Roman" w:hAnsi="Times New Roman" w:cs="Times New Roman" w:eastAsia="Times New Roman"/>
                <w:b/>
                <w:bCs/>
                <w:sz w:val="22"/>
                <w:szCs w:val="22"/>
              </w:rPr>
              <w:t xml:space="preserve">Client</w:t>
            </w:r>
          </w:p>
          <w:tbl>
            <w:tblPr>
              <w:tblW w:type="dxa" w:w="4500"/>
              <w:tblBorders>
                <w:top w:val="none" w:color="FFFFFF" w:sz="0"/>
                <w:left w:val="none" w:color="FFFFFF" w:sz="0"/>
                <w:bottom w:val="none" w:color="FFFFFF" w:sz="0"/>
                <w:right w:val="none" w:color="FFFFFF" w:sz="0"/>
                <w:insideH w:val="none" w:color="FFFFFF" w:sz="0"/>
                <w:insideV w:val="none" w:color="FFFFFF" w:sz="0"/>
              </w:tblBorders>
            </w:tblPr>
            <w:tblGrid>
              <w:gridCol w:w="4500"/>
            </w:tblGrid>
            <w:tr>
              <w:tc>
                <w:tcPr>
                  <w:tcW w:type="dxa" w:w="4500"/>
                  <w:tcBorders>
                    <w:top w:val="none" w:color="FFFFFF" w:sz="0"/>
                    <w:left w:val="none" w:color="FFFFFF" w:sz="0"/>
                    <w:bottom w:val="single" w:color="000000" w:sz="6"/>
                    <w:right w:val="none" w:color="FFFFFF" w:sz="0"/>
                  </w:tcBorders>
                  <w:tcMar>
                    <w:top w:type="dxa" w:w="240"/>
                    <w:left w:type="dxa" w:w="0"/>
                    <w:bottom w:type="dxa" w:w="20"/>
                    <w:right w:type="dxa" w:w="0"/>
                  </w:tcMar>
                </w:tcPr>
                <w:p>
                  <w:pPr>
                    <w:spacing w:after="0"/>
                  </w:pPr>
                  <w:r>
                    <w:rPr>
                      <w:rFonts w:ascii="Times New Roman" w:hAnsi="Times New Roman" w:cs="Times New Roman" w:eastAsia="Times New Roman"/>
                      <w:sz w:val="20"/>
                      <w:szCs w:val="20"/>
                    </w:rPr>
                    <w:t xml:space="preserve">Company</w:t>
                  </w:r>
                </w:p>
              </w:tc>
            </w:tr>
            <w:tr>
              <w:tc>
                <w:tcPr>
                  <w:tcW w:type="dxa" w:w="4500"/>
                  <w:tcBorders>
                    <w:top w:val="none" w:color="FFFFFF" w:sz="0"/>
                    <w:left w:val="none" w:color="FFFFFF" w:sz="0"/>
                    <w:bottom w:val="single" w:color="000000" w:sz="6"/>
                    <w:right w:val="none" w:color="FFFFFF" w:sz="0"/>
                  </w:tcBorders>
                  <w:tcMar>
                    <w:top w:type="dxa" w:w="240"/>
                    <w:left w:type="dxa" w:w="0"/>
                    <w:bottom w:type="dxa" w:w="20"/>
                    <w:right w:type="dxa" w:w="0"/>
                  </w:tcMar>
                </w:tcPr>
                <w:p>
                  <w:pPr>
                    <w:spacing w:after="0"/>
                  </w:pPr>
                  <w:r>
                    <w:rPr>
                      <w:rFonts w:ascii="Times New Roman" w:hAnsi="Times New Roman" w:cs="Times New Roman" w:eastAsia="Times New Roman"/>
                      <w:sz w:val="20"/>
                      <w:szCs w:val="20"/>
                    </w:rPr>
                    <w:t xml:space="preserve">Name</w:t>
                  </w:r>
                </w:p>
              </w:tc>
            </w:tr>
            <w:tr>
              <w:tc>
                <w:tcPr>
                  <w:tcW w:type="dxa" w:w="4500"/>
                  <w:tcBorders>
                    <w:top w:val="none" w:color="FFFFFF" w:sz="0"/>
                    <w:left w:val="none" w:color="FFFFFF" w:sz="0"/>
                    <w:bottom w:val="single" w:color="000000" w:sz="6"/>
                    <w:right w:val="none" w:color="FFFFFF" w:sz="0"/>
                  </w:tcBorders>
                  <w:tcMar>
                    <w:top w:type="dxa" w:w="240"/>
                    <w:left w:type="dxa" w:w="0"/>
                    <w:bottom w:type="dxa" w:w="20"/>
                    <w:right w:type="dxa" w:w="0"/>
                  </w:tcMar>
                </w:tcPr>
                <w:p>
                  <w:pPr>
                    <w:spacing w:after="0"/>
                  </w:pPr>
                  <w:r>
                    <w:rPr>
                      <w:rFonts w:ascii="Times New Roman" w:hAnsi="Times New Roman" w:cs="Times New Roman" w:eastAsia="Times New Roman"/>
                      <w:sz w:val="20"/>
                      <w:szCs w:val="20"/>
                    </w:rPr>
                    <w:t xml:space="preserve">Title</w:t>
                  </w:r>
                </w:p>
              </w:tc>
            </w:tr>
            <w:tr>
              <w:tc>
                <w:tcPr>
                  <w:tcW w:type="dxa" w:w="4500"/>
                  <w:tcBorders>
                    <w:top w:val="none" w:color="FFFFFF" w:sz="0"/>
                    <w:left w:val="none" w:color="FFFFFF" w:sz="0"/>
                    <w:bottom w:val="single" w:color="000000" w:sz="6"/>
                    <w:right w:val="none" w:color="FFFFFF" w:sz="0"/>
                  </w:tcBorders>
                  <w:tcMar>
                    <w:top w:type="dxa" w:w="240"/>
                    <w:left w:type="dxa" w:w="0"/>
                    <w:bottom w:type="dxa" w:w="20"/>
                    <w:right w:type="dxa" w:w="0"/>
                  </w:tcMar>
                </w:tcPr>
                <w:p>
                  <w:pPr>
                    <w:spacing w:after="0"/>
                  </w:pPr>
                  <w:r>
                    <w:rPr>
                      <w:rFonts w:ascii="Times New Roman" w:hAnsi="Times New Roman" w:cs="Times New Roman" w:eastAsia="Times New Roman"/>
                      <w:sz w:val="20"/>
                      <w:szCs w:val="20"/>
                    </w:rPr>
                    <w:t xml:space="preserve">Signature</w:t>
                  </w:r>
                </w:p>
              </w:tc>
            </w:tr>
            <w:tr>
              <w:tc>
                <w:tcPr>
                  <w:tcW w:type="dxa" w:w="4500"/>
                  <w:tcBorders>
                    <w:top w:val="none" w:color="FFFFFF" w:sz="0"/>
                    <w:left w:val="none" w:color="FFFFFF" w:sz="0"/>
                    <w:bottom w:val="single" w:color="000000" w:sz="6"/>
                    <w:right w:val="none" w:color="FFFFFF" w:sz="0"/>
                  </w:tcBorders>
                  <w:tcMar>
                    <w:top w:type="dxa" w:w="240"/>
                    <w:left w:type="dxa" w:w="0"/>
                    <w:bottom w:type="dxa" w:w="20"/>
                    <w:right w:type="dxa" w:w="0"/>
                  </w:tcMar>
                </w:tcPr>
                <w:p>
                  <w:pPr>
                    <w:spacing w:after="0"/>
                  </w:pPr>
                  <w:r>
                    <w:rPr>
                      <w:rFonts w:ascii="Times New Roman" w:hAnsi="Times New Roman" w:cs="Times New Roman" w:eastAsia="Times New Roman"/>
                      <w:sz w:val="20"/>
                      <w:szCs w:val="20"/>
                    </w:rPr>
                    <w:t xml:space="preserve">Date</w:t>
                  </w:r>
                </w:p>
              </w:tc>
            </w:tr>
          </w:tbl>
          <w:p/>
        </w:tc>
        <w:tc>
          <w:tcPr>
            <w:tcW w:type="dxa" w:w="4860"/>
            <w:tcBorders>
              <w:top w:val="none" w:color="FFFFFF" w:sz="0"/>
              <w:left w:val="none" w:color="FFFFFF" w:sz="0"/>
              <w:bottom w:val="none" w:color="FFFFFF" w:sz="0"/>
              <w:right w:val="none" w:color="FFFFFF" w:sz="0"/>
            </w:tcBorders>
            <w:tcMar>
              <w:top w:type="dxa" w:w="0"/>
              <w:left w:type="dxa" w:w="0"/>
              <w:bottom w:type="dxa" w:w="0"/>
              <w:right w:type="dxa" w:w="360"/>
            </w:tcMar>
          </w:tcPr>
          <w:p>
            <w:pPr>
              <w:spacing w:after="40"/>
            </w:pPr>
            <w:r>
              <w:rPr>
                <w:rFonts w:ascii="Times New Roman" w:hAnsi="Times New Roman" w:cs="Times New Roman" w:eastAsia="Times New Roman"/>
                <w:b/>
                <w:bCs/>
                <w:sz w:val="22"/>
                <w:szCs w:val="22"/>
              </w:rPr>
              <w:t xml:space="preserve">Monarc Build LLC</w:t>
            </w:r>
          </w:p>
          <w:tbl>
            <w:tblPr>
              <w:tblW w:type="dxa" w:w="4500"/>
              <w:tblBorders>
                <w:top w:val="none" w:color="FFFFFF" w:sz="0"/>
                <w:left w:val="none" w:color="FFFFFF" w:sz="0"/>
                <w:bottom w:val="none" w:color="FFFFFF" w:sz="0"/>
                <w:right w:val="none" w:color="FFFFFF" w:sz="0"/>
                <w:insideH w:val="none" w:color="FFFFFF" w:sz="0"/>
                <w:insideV w:val="none" w:color="FFFFFF" w:sz="0"/>
              </w:tblBorders>
            </w:tblPr>
            <w:tblGrid>
              <w:gridCol w:w="4500"/>
            </w:tblGrid>
            <w:tr>
              <w:tc>
                <w:tcPr>
                  <w:tcW w:type="dxa" w:w="4500"/>
                  <w:tcBorders>
                    <w:top w:val="none" w:color="FFFFFF" w:sz="0"/>
                    <w:left w:val="none" w:color="FFFFFF" w:sz="0"/>
                    <w:bottom w:val="single" w:color="000000" w:sz="6"/>
                    <w:right w:val="none" w:color="FFFFFF" w:sz="0"/>
                  </w:tcBorders>
                  <w:tcMar>
                    <w:top w:type="dxa" w:w="240"/>
                    <w:left w:type="dxa" w:w="0"/>
                    <w:bottom w:type="dxa" w:w="20"/>
                    <w:right w:type="dxa" w:w="0"/>
                  </w:tcMar>
                </w:tcPr>
                <w:p>
                  <w:pPr>
                    <w:spacing w:after="0"/>
                  </w:pPr>
                  <w:r>
                    <w:rPr>
                      <w:rFonts w:ascii="Times New Roman" w:hAnsi="Times New Roman" w:cs="Times New Roman" w:eastAsia="Times New Roman"/>
                      <w:sz w:val="20"/>
                      <w:szCs w:val="20"/>
                    </w:rPr>
                    <w:t xml:space="preserve">Company:  Monarc Build LLC</w:t>
                  </w:r>
                </w:p>
              </w:tc>
            </w:tr>
            <w:tr>
              <w:tc>
                <w:tcPr>
                  <w:tcW w:type="dxa" w:w="4500"/>
                  <w:tcBorders>
                    <w:top w:val="none" w:color="FFFFFF" w:sz="0"/>
                    <w:left w:val="none" w:color="FFFFFF" w:sz="0"/>
                    <w:bottom w:val="single" w:color="000000" w:sz="6"/>
                    <w:right w:val="none" w:color="FFFFFF" w:sz="0"/>
                  </w:tcBorders>
                  <w:tcMar>
                    <w:top w:type="dxa" w:w="240"/>
                    <w:left w:type="dxa" w:w="0"/>
                    <w:bottom w:type="dxa" w:w="20"/>
                    <w:right w:type="dxa" w:w="0"/>
                  </w:tcMar>
                </w:tcPr>
                <w:p>
                  <w:pPr>
                    <w:spacing w:after="0"/>
                  </w:pPr>
                  <w:r>
                    <w:rPr>
                      <w:rFonts w:ascii="Times New Roman" w:hAnsi="Times New Roman" w:cs="Times New Roman" w:eastAsia="Times New Roman"/>
                      <w:sz w:val="20"/>
                      <w:szCs w:val="20"/>
                    </w:rPr>
                    <w:t xml:space="preserve">Name:  Jonathan Beach</w:t>
                  </w:r>
                </w:p>
              </w:tc>
            </w:tr>
            <w:tr>
              <w:tc>
                <w:tcPr>
                  <w:tcW w:type="dxa" w:w="4500"/>
                  <w:tcBorders>
                    <w:top w:val="none" w:color="FFFFFF" w:sz="0"/>
                    <w:left w:val="none" w:color="FFFFFF" w:sz="0"/>
                    <w:bottom w:val="single" w:color="000000" w:sz="6"/>
                    <w:right w:val="none" w:color="FFFFFF" w:sz="0"/>
                  </w:tcBorders>
                  <w:tcMar>
                    <w:top w:type="dxa" w:w="240"/>
                    <w:left w:type="dxa" w:w="0"/>
                    <w:bottom w:type="dxa" w:w="20"/>
                    <w:right w:type="dxa" w:w="0"/>
                  </w:tcMar>
                </w:tcPr>
                <w:p>
                  <w:pPr>
                    <w:spacing w:after="0"/>
                  </w:pPr>
                  <w:r>
                    <w:rPr>
                      <w:rFonts w:ascii="Times New Roman" w:hAnsi="Times New Roman" w:cs="Times New Roman" w:eastAsia="Times New Roman"/>
                      <w:sz w:val="20"/>
                      <w:szCs w:val="20"/>
                    </w:rPr>
                    <w:t xml:space="preserve">Title:  Founder</w:t>
                  </w:r>
                </w:p>
              </w:tc>
            </w:tr>
            <w:tr>
              <w:tc>
                <w:tcPr>
                  <w:tcW w:type="dxa" w:w="4500"/>
                  <w:tcBorders>
                    <w:top w:val="none" w:color="FFFFFF" w:sz="0"/>
                    <w:left w:val="none" w:color="FFFFFF" w:sz="0"/>
                    <w:bottom w:val="single" w:color="000000" w:sz="6"/>
                    <w:right w:val="none" w:color="FFFFFF" w:sz="0"/>
                  </w:tcBorders>
                  <w:tcMar>
                    <w:top w:type="dxa" w:w="240"/>
                    <w:left w:type="dxa" w:w="0"/>
                    <w:bottom w:type="dxa" w:w="20"/>
                    <w:right w:type="dxa" w:w="0"/>
                  </w:tcMar>
                </w:tcPr>
                <w:p>
                  <w:pPr>
                    <w:spacing w:after="0"/>
                  </w:pPr>
                  <w:r>
                    <w:rPr>
                      <w:rFonts w:ascii="Times New Roman" w:hAnsi="Times New Roman" w:cs="Times New Roman" w:eastAsia="Times New Roman"/>
                      <w:sz w:val="20"/>
                      <w:szCs w:val="20"/>
                    </w:rPr>
                    <w:t xml:space="preserve">Signature</w:t>
                  </w:r>
                </w:p>
              </w:tc>
            </w:tr>
            <w:tr>
              <w:tc>
                <w:tcPr>
                  <w:tcW w:type="dxa" w:w="4500"/>
                  <w:tcBorders>
                    <w:top w:val="none" w:color="FFFFFF" w:sz="0"/>
                    <w:left w:val="none" w:color="FFFFFF" w:sz="0"/>
                    <w:bottom w:val="single" w:color="000000" w:sz="6"/>
                    <w:right w:val="none" w:color="FFFFFF" w:sz="0"/>
                  </w:tcBorders>
                  <w:tcMar>
                    <w:top w:type="dxa" w:w="240"/>
                    <w:left w:type="dxa" w:w="0"/>
                    <w:bottom w:type="dxa" w:w="20"/>
                    <w:right w:type="dxa" w:w="0"/>
                  </w:tcMar>
                </w:tcPr>
                <w:p>
                  <w:pPr>
                    <w:spacing w:after="0"/>
                  </w:pPr>
                  <w:r>
                    <w:rPr>
                      <w:rFonts w:ascii="Times New Roman" w:hAnsi="Times New Roman" w:cs="Times New Roman" w:eastAsia="Times New Roman"/>
                      <w:sz w:val="20"/>
                      <w:szCs w:val="20"/>
                    </w:rPr>
                    <w:t xml:space="preserve">Date</w:t>
                  </w:r>
                </w:p>
              </w:tc>
            </w:tr>
          </w:tbl>
          <w:p/>
        </w:tc>
      </w:tr>
    </w:tbl>
    <w:sectPr>
      <w:pgSz w:w="12240" w:h="15840" w:orient="portrait"/>
      <w:pgMar w:top="126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hAnsi="Times New Roman" w:cs="Times New Roman" w:eastAsia="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2026-09-15T21:37:39.709Z</dcterms:created>
  <dcterms:modified xsi:type="dcterms:W3CDTF">2026-09-15T21:37:39.709Z</dcterms:modified>
</cp:coreProperties>
</file>

<file path=docProps/custom.xml><?xml version="1.0" encoding="utf-8"?>
<Properties xmlns="http://schemas.openxmlformats.org/officeDocument/2006/custom-properties" xmlns:vt="http://schemas.openxmlformats.org/officeDocument/2006/docPropsVTypes"/>
</file>