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TERAH — Artefact Agreement 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(Group: T327 | Project: 393)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1) Overview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: TERAH - The Epic Retirement AI Helper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Team:</w:t>
      </w:r>
      <w:r w:rsidDel="00000000" w:rsidR="00000000" w:rsidRPr="00000000">
        <w:rPr>
          <w:rtl w:val="0"/>
        </w:rPr>
        <w:t xml:space="preserve"> T327 – Charles McVeigh, Cole Smart, Jonathan Tebble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Industry Partner:</w:t>
      </w:r>
      <w:r w:rsidDel="00000000" w:rsidR="00000000" w:rsidRPr="00000000">
        <w:rPr>
          <w:rtl w:val="0"/>
        </w:rPr>
        <w:t xml:space="preserve"> The Epic Retirement Institute (Bec Wilson)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Tutor:</w:t>
      </w:r>
      <w:r w:rsidDel="00000000" w:rsidR="00000000" w:rsidRPr="00000000">
        <w:rPr>
          <w:rtl w:val="0"/>
        </w:rPr>
        <w:t xml:space="preserve"> Alex Douglass-Bonner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Draft </w:t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2) Purpose &amp; Outcomes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Deliver a production‑ready, chatbot that provides general, factual Australian retirement information, with source citations, strong guardrails (no personal advice), and an accessible UI.</w:t>
      </w:r>
      <w:r w:rsidDel="00000000" w:rsidR="00000000" w:rsidRPr="00000000">
        <w:rPr>
          <w:rtl w:val="0"/>
        </w:rPr>
        <w:t xml:space="preserve"> Evidence of delivery is via user‑stor</w:t>
      </w:r>
      <w:r w:rsidDel="00000000" w:rsidR="00000000" w:rsidRPr="00000000">
        <w:rPr>
          <w:rtl w:val="0"/>
        </w:rPr>
        <w:t xml:space="preserve">y acceptance tests and iterative test results.</w:t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3) Delivered Scope (refine once project closer to completion)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Define three delivery levels for this semester; assess based on measurable acceptance tests and how well features work.</w:t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A. Base system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 chat flow (React + API) with disclaimer banner and message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‑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 safety check.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Answers show relevant and client verified source reference.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approved corpus loaded; simple retrieval/selection.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 tests pass for core user stories (see 6).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B. Enhanced system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Two-factor </w:t>
      </w:r>
      <w:r w:rsidDel="00000000" w:rsidR="00000000" w:rsidRPr="00000000">
        <w:rPr>
          <w:rtl w:val="0"/>
        </w:rPr>
        <w:t xml:space="preserve">validation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responses.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Guardrail pipeline blocks advice‑seeking prompts; audit log of blocks.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Accessibility pass (keyboard nav + basic WCAG checks) and mobile layout.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Automated unit tests on core services.</w:t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C. Stretch system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 context management (trimming, topic routing) improving answer quality.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update runbook + scheduled scraping/refresh guide.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Comprehensive acceptance test suite across releases, high test stability, clean UI polish.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 packaging &amp; docs indistinguishable from an experienced team.</w:t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4) Deliverables – handed to project owner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Product: Web chatbot + source repo.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Guide: Install/use steps, screenshots, FAQs, limitations.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Documentation: Architecture, data/knowledge flow, environment &amp; deployment, API usage, secrets handling, monitoring.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Pack: User‑story acceptance tests with input/output examples and pass results, automated unit tests and coverage report.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Index: Approved datasets/pages mapped to topics + approval documentation.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Handover Checklist: Accounts/keys, repo permissions, data folders, update procedure, and more.</w:t>
      </w:r>
    </w:p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  <w:t xml:space="preserve">5) Out of Scope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personal financial advice or user‑specific optimisation.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 integration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ChatGPT replacement of the Gemini integration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Real‑time regulatory monitoring beyond the semester.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r w:rsidDel="00000000" w:rsidR="00000000" w:rsidRPr="00000000">
        <w:rPr>
          <w:rtl w:val="0"/>
        </w:rPr>
        <w:t xml:space="preserve">6) User Stories &amp; Acceptance Tests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List of user stories with specific acceptance tests. </w:t>
      </w:r>
    </w:p>
    <w:tbl>
      <w:tblPr>
        <w:tblStyle w:val="Table1"/>
        <w:tblW w:w="88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3945"/>
        <w:gridCol w:w="4440"/>
        <w:tblGridChange w:id="0">
          <w:tblGrid>
            <w:gridCol w:w="510"/>
            <w:gridCol w:w="3945"/>
            <w:gridCol w:w="44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 a user, I want to start a conversation with the chatbot so that I can begin asking retirement-related questions.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chatbot greets the user and prompts them to enter their query.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 a user, I want to input a retirement-related question so that I can receive relevant information.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chatbot accepts input and responds within 3 seconds with compliant guidance.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 a user, I want to receive links to official resources so that I can verify information independently.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chatbot provides valid, clickable links to government or industry sources.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 a user, I want the chatbot to recognise when my query is outside its scope so that I’m not given misleading information.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chatbot replies with a clear message like “I am unable to provide specific financial advice. Consider seeking advice from a licensed financial advisor..”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 a user, I want to view the conversation on a single full-page interface so that I can follow the discussion easily without navigating between screens.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chatbot displays the conversation in a continuous full-page format</w:t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rPr/>
      </w:pPr>
      <w:r w:rsidDel="00000000" w:rsidR="00000000" w:rsidRPr="00000000">
        <w:rPr>
          <w:rtl w:val="0"/>
        </w:rPr>
        <w:t xml:space="preserve">7) Artefact Quality 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Provide documented evidence across iterations, unit tests, coverage, passing runs, rapid fixes, architectural review, and code quality consistent with unit expectations. </w:t>
      </w:r>
    </w:p>
    <w:p w:rsidR="00000000" w:rsidDel="00000000" w:rsidP="00000000" w:rsidRDefault="00000000" w:rsidRPr="00000000" w14:paraId="0000003E">
      <w:pPr>
        <w:pStyle w:val="Heading1"/>
        <w:rPr/>
      </w:pPr>
      <w:r w:rsidDel="00000000" w:rsidR="00000000" w:rsidRPr="00000000">
        <w:rPr>
          <w:rtl w:val="0"/>
        </w:rPr>
        <w:t xml:space="preserve">8) Artefact Presentation 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Demonstrate a clean UI, easy installation/configuration, and high‑quality supporting materials, specifically the User Guide. Package the submission professionally and include the source files and key material surrounding the project.</w:t>
      </w:r>
    </w:p>
    <w:p w:rsidR="00000000" w:rsidDel="00000000" w:rsidP="00000000" w:rsidRDefault="00000000" w:rsidRPr="00000000" w14:paraId="00000040">
      <w:pPr>
        <w:pStyle w:val="Heading1"/>
        <w:rPr/>
      </w:pPr>
      <w:r w:rsidDel="00000000" w:rsidR="00000000" w:rsidRPr="00000000">
        <w:rPr>
          <w:rtl w:val="0"/>
        </w:rPr>
        <w:t xml:space="preserve">9) Risks &amp; Mitigations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breakdowns or issues surrounding the project including but not limited to.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Advice leakage → layered guardrails + blocked‑prompt tests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links/incorrect sources → link‑check script, curated source index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codes → code breakages or file mismanagement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become the project owner’s responsibility post hand over.</w:t>
      </w:r>
    </w:p>
    <w:p w:rsidR="00000000" w:rsidDel="00000000" w:rsidP="00000000" w:rsidRDefault="00000000" w:rsidRPr="00000000" w14:paraId="00000046">
      <w:pPr>
        <w:pStyle w:val="Heading1"/>
        <w:rPr/>
      </w:pPr>
      <w:r w:rsidDel="00000000" w:rsidR="00000000" w:rsidRPr="00000000">
        <w:rPr>
          <w:rtl w:val="0"/>
        </w:rPr>
        <w:t xml:space="preserve">10) Handover &amp; Sign‑off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User Guide, Technical Docs, Test Pack (results), Source Index, Runbook, Accounts/Keys, Release notes. Sign‑off:</w:t>
      </w:r>
    </w:p>
    <w:tbl>
      <w:tblPr>
        <w:tblStyle w:val="Table2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1830"/>
        <w:gridCol w:w="3930"/>
        <w:tblGridChange w:id="0">
          <w:tblGrid>
            <w:gridCol w:w="2880"/>
            <w:gridCol w:w="1830"/>
            <w:gridCol w:w="39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Owner / Client: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Date: 26 / 9 / 25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62200" cy="6096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 1: </w:t>
            </w:r>
            <w:r w:rsidDel="00000000" w:rsidR="00000000" w:rsidRPr="00000000">
              <w:rPr>
                <w:rtl w:val="0"/>
              </w:rPr>
              <w:t xml:space="preserve">Cole Smart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Date:   8 / 9 /25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81138" cy="884369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138" cy="8843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 2: </w:t>
            </w:r>
            <w:r w:rsidDel="00000000" w:rsidR="00000000" w:rsidRPr="00000000">
              <w:rPr>
                <w:rtl w:val="0"/>
              </w:rPr>
              <w:t xml:space="preserve">Jonathan Tebble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Date:  8 / 9 /25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11574" cy="1213881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75000" l="0" r="7661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574" cy="12138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 3: </w:t>
            </w:r>
            <w:r w:rsidDel="00000000" w:rsidR="00000000" w:rsidRPr="00000000">
              <w:rPr>
                <w:rtl w:val="0"/>
              </w:rPr>
              <w:t xml:space="preserve">Charles McVeigh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Date:  8 / 9 /25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76425" cy="785813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7858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oTiGX4zjjUZoHxDwgK4/pnlHSw==">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2025-08-27T05:07:00Z</dcterms:created>
  <dc:creator>python-docx</dc:creator>
</cp:coreProperties>
</file>