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8136" w14:textId="77777777" w:rsidR="00B17D5E" w:rsidRPr="00056117" w:rsidRDefault="00000000" w:rsidP="00056117">
      <w:pPr>
        <w:rPr>
          <w:b/>
          <w:bCs/>
          <w:sz w:val="32"/>
          <w:szCs w:val="40"/>
        </w:rPr>
      </w:pPr>
      <w:r w:rsidRPr="00056117">
        <w:rPr>
          <w:b/>
          <w:bCs/>
          <w:sz w:val="32"/>
          <w:szCs w:val="40"/>
        </w:rPr>
        <w:t>Adding an Indexed Extension to the Model</w:t>
      </w:r>
    </w:p>
    <w:p w14:paraId="660EFB9D" w14:textId="77777777" w:rsidR="00B17D5E" w:rsidRDefault="00000000">
      <w:r>
        <w:t>The basic idea is simple: take a variable that currently appears once in the model, split it into a few meaningful components, give those components separate assumptions or equations, and then add them back together. The rest of the model can continue to use the original aggregate variable.</w:t>
      </w:r>
    </w:p>
    <w:p w14:paraId="67D7B5DC" w14:textId="77777777" w:rsidR="00B17D5E" w:rsidRDefault="00000000">
      <w:r>
        <w:t>This is already how sectoral GDP and exports work in the model, so a new extension should follow the same pattern rather than introduce a new modelling structure.</w:t>
      </w:r>
    </w:p>
    <w:p w14:paraId="5968B47A" w14:textId="77777777" w:rsidR="00B17D5E" w:rsidRDefault="00000000">
      <w:pPr>
        <w:pStyle w:val="Heading1"/>
      </w:pPr>
      <w:r>
        <w:t>1. Start from the pattern already in the model</w:t>
      </w:r>
    </w:p>
    <w:p w14:paraId="20E09A51" w14:textId="77777777" w:rsidR="00B17D5E" w:rsidRDefault="00000000">
      <w:r>
        <w:t>Sectoral GDP is projected separately and then summed to total GDP:</w:t>
      </w:r>
    </w:p>
    <w:p w14:paraId="638CE1C7" w14:textId="77777777" w:rsidR="00B17D5E" w:rsidRDefault="00000000">
      <w:pPr>
        <w:pStyle w:val="CodeBlock"/>
        <w:shd w:val="clear" w:color="auto" w:fill="F2F2F2"/>
      </w:pPr>
      <w:r>
        <w:t>GDPS[s = sectors, t = proj],</w:t>
      </w:r>
      <w:r>
        <w:br/>
        <w:t xml:space="preserve">    GDPS[s, t] ==</w:t>
      </w:r>
      <w:r>
        <w:br/>
        <w:t xml:space="preserve">        (1 + gamma[s, t]) * GDPS[s, t - 1]</w:t>
      </w:r>
      <w:r>
        <w:br/>
      </w:r>
      <w:r>
        <w:br/>
        <w:t>GDP[t = proj],</w:t>
      </w:r>
      <w:r>
        <w:br/>
        <w:t xml:space="preserve">    GDP[t] ==</w:t>
      </w:r>
      <w:r>
        <w:br/>
        <w:t xml:space="preserve">        sum(GDPS[s, t] for s in sectors)</w:t>
      </w:r>
    </w:p>
    <w:p w14:paraId="2EBE6CA8" w14:textId="77777777" w:rsidR="00B17D5E" w:rsidRDefault="00000000">
      <w:r>
        <w:t>Exports use exactly the same structure:</w:t>
      </w:r>
    </w:p>
    <w:p w14:paraId="5A5B28F2" w14:textId="77777777" w:rsidR="00B17D5E" w:rsidRDefault="00000000">
      <w:pPr>
        <w:pStyle w:val="CodeBlock"/>
        <w:shd w:val="clear" w:color="auto" w:fill="F2F2F2"/>
      </w:pPr>
      <w:r>
        <w:t>XS[s = sectors, t = proj],</w:t>
      </w:r>
      <w:r>
        <w:br/>
        <w:t xml:space="preserve">    XS[s, t] ==</w:t>
      </w:r>
      <w:r>
        <w:br/>
        <w:t xml:space="preserve">        (1 + xgr[s, t]) * XS[s, t - 1]</w:t>
      </w:r>
      <w:r>
        <w:br/>
      </w:r>
      <w:r>
        <w:br/>
        <w:t>X[t = proj],</w:t>
      </w:r>
      <w:r>
        <w:br/>
        <w:t xml:space="preserve">    X[t] ==</w:t>
      </w:r>
      <w:r>
        <w:br/>
        <w:t xml:space="preserve">        sum(XS[s, t] for s in sectors)</w:t>
      </w:r>
    </w:p>
    <w:p w14:paraId="763EA36D" w14:textId="77777777" w:rsidR="00B17D5E" w:rsidRDefault="00000000">
      <w:r>
        <w:t>For another variable, the names will change, but the logic is the same: one indexed equation per component and one equation that rebuilds the aggregate.</w:t>
      </w:r>
    </w:p>
    <w:p w14:paraId="5C1092CB" w14:textId="77777777" w:rsidR="00B17D5E" w:rsidRDefault="00000000">
      <w:pPr>
        <w:pStyle w:val="Heading1"/>
      </w:pPr>
      <w:r>
        <w:t>2. First decide whether the variable is suitable</w:t>
      </w:r>
    </w:p>
    <w:p w14:paraId="02DC5BE1" w14:textId="77777777" w:rsidR="00B17D5E" w:rsidRDefault="00000000">
      <w:r>
        <w:t>The easiest variables to split are variables that currently follow an exogenous path. Examples include government investment, government revenue, foreign direct investment, or transfers from abroad. In those cases, the old aggregate path can simply be replaced by component paths.</w:t>
      </w:r>
    </w:p>
    <w:p w14:paraId="5ABD69F4" w14:textId="77777777" w:rsidR="00B17D5E" w:rsidRDefault="00000000">
      <w:r>
        <w:t>A variable that is already determined by an equation is more complicated. You cannot leave the old equation in place and also add a new equation saying that the variable is the sum of its components. That would normally determine the same variable twice.</w:t>
      </w:r>
    </w:p>
    <w:tbl>
      <w:tblPr>
        <w:tblStyle w:val="TableGrid"/>
        <w:tblW w:w="0" w:type="auto"/>
        <w:jc w:val="center"/>
        <w:tblLook w:val="04A0" w:firstRow="1" w:lastRow="0" w:firstColumn="1" w:lastColumn="0" w:noHBand="0" w:noVBand="1"/>
      </w:tblPr>
      <w:tblGrid>
        <w:gridCol w:w="3452"/>
        <w:gridCol w:w="3453"/>
        <w:gridCol w:w="3453"/>
      </w:tblGrid>
      <w:tr w:rsidR="00B17D5E" w14:paraId="1BABA3F7" w14:textId="77777777">
        <w:trPr>
          <w:jc w:val="center"/>
        </w:trPr>
        <w:tc>
          <w:tcPr>
            <w:tcW w:w="3456" w:type="dxa"/>
            <w:shd w:val="clear" w:color="auto" w:fill="E6E6E6"/>
          </w:tcPr>
          <w:p w14:paraId="2F969DB8" w14:textId="77777777" w:rsidR="00B17D5E" w:rsidRDefault="00000000">
            <w:r>
              <w:rPr>
                <w:b/>
              </w:rPr>
              <w:t>Current role of the variable</w:t>
            </w:r>
          </w:p>
        </w:tc>
        <w:tc>
          <w:tcPr>
            <w:tcW w:w="3456" w:type="dxa"/>
            <w:shd w:val="clear" w:color="auto" w:fill="E6E6E6"/>
          </w:tcPr>
          <w:p w14:paraId="402D71C9" w14:textId="77777777" w:rsidR="00B17D5E" w:rsidRDefault="00000000">
            <w:r>
              <w:rPr>
                <w:b/>
              </w:rPr>
              <w:t>What the extension should do</w:t>
            </w:r>
          </w:p>
        </w:tc>
        <w:tc>
          <w:tcPr>
            <w:tcW w:w="3456" w:type="dxa"/>
            <w:shd w:val="clear" w:color="auto" w:fill="E6E6E6"/>
          </w:tcPr>
          <w:p w14:paraId="2A7312F9" w14:textId="77777777" w:rsidR="00B17D5E" w:rsidRDefault="00000000">
            <w:r>
              <w:rPr>
                <w:b/>
              </w:rPr>
              <w:t>Examples</w:t>
            </w:r>
          </w:p>
        </w:tc>
      </w:tr>
      <w:tr w:rsidR="00B17D5E" w14:paraId="7795AE73" w14:textId="77777777">
        <w:trPr>
          <w:jc w:val="center"/>
        </w:trPr>
        <w:tc>
          <w:tcPr>
            <w:tcW w:w="3456" w:type="dxa"/>
          </w:tcPr>
          <w:p w14:paraId="22BDF57A" w14:textId="77777777" w:rsidR="00B17D5E" w:rsidRDefault="00000000">
            <w:r>
              <w:t>Exogenous path</w:t>
            </w:r>
          </w:p>
        </w:tc>
        <w:tc>
          <w:tcPr>
            <w:tcW w:w="3456" w:type="dxa"/>
          </w:tcPr>
          <w:p w14:paraId="6C7F0C61" w14:textId="77777777" w:rsidR="00B17D5E" w:rsidRDefault="00000000">
            <w:r>
              <w:t>Delete the old path and let the components determine the aggregate.</w:t>
            </w:r>
          </w:p>
        </w:tc>
        <w:tc>
          <w:tcPr>
            <w:tcW w:w="3456" w:type="dxa"/>
          </w:tcPr>
          <w:p w14:paraId="610AD4E1" w14:textId="77777777" w:rsidR="00B17D5E" w:rsidRDefault="00000000">
            <w:r>
              <w:t>IVG, TG, FDI</w:t>
            </w:r>
          </w:p>
        </w:tc>
      </w:tr>
      <w:tr w:rsidR="00B17D5E" w14:paraId="42461AD0" w14:textId="77777777">
        <w:trPr>
          <w:jc w:val="center"/>
        </w:trPr>
        <w:tc>
          <w:tcPr>
            <w:tcW w:w="3456" w:type="dxa"/>
          </w:tcPr>
          <w:p w14:paraId="44527580" w14:textId="77777777" w:rsidR="00B17D5E" w:rsidRDefault="00000000">
            <w:r>
              <w:t>Endogenous equation</w:t>
            </w:r>
          </w:p>
        </w:tc>
        <w:tc>
          <w:tcPr>
            <w:tcW w:w="3456" w:type="dxa"/>
          </w:tcPr>
          <w:p w14:paraId="2A7295EE" w14:textId="77777777" w:rsidR="00B17D5E" w:rsidRDefault="00000000">
            <w:r>
              <w:t>Replace or redesign the old equation.</w:t>
            </w:r>
          </w:p>
        </w:tc>
        <w:tc>
          <w:tcPr>
            <w:tcW w:w="3456" w:type="dxa"/>
          </w:tcPr>
          <w:p w14:paraId="08EE8A8E" w14:textId="77777777" w:rsidR="00B17D5E" w:rsidRDefault="00000000">
            <w:r>
              <w:t>CP, M, IV</w:t>
            </w:r>
          </w:p>
        </w:tc>
      </w:tr>
      <w:tr w:rsidR="00B17D5E" w14:paraId="546A3BB1" w14:textId="77777777">
        <w:trPr>
          <w:jc w:val="center"/>
        </w:trPr>
        <w:tc>
          <w:tcPr>
            <w:tcW w:w="3456" w:type="dxa"/>
          </w:tcPr>
          <w:p w14:paraId="167F845E" w14:textId="77777777" w:rsidR="00B17D5E" w:rsidRDefault="00000000">
            <w:r>
              <w:t>Fixed aggregate</w:t>
            </w:r>
          </w:p>
        </w:tc>
        <w:tc>
          <w:tcPr>
            <w:tcW w:w="3456" w:type="dxa"/>
          </w:tcPr>
          <w:p w14:paraId="3505C5B8" w14:textId="77777777" w:rsidR="00B17D5E" w:rsidRDefault="00000000">
            <w:r>
              <w:t>Let one component adjust residually.</w:t>
            </w:r>
          </w:p>
        </w:tc>
        <w:tc>
          <w:tcPr>
            <w:tcW w:w="3456" w:type="dxa"/>
          </w:tcPr>
          <w:p w14:paraId="397EE6D5" w14:textId="77777777" w:rsidR="00B17D5E" w:rsidRDefault="00000000">
            <w:r>
              <w:t>A fixed policy total</w:t>
            </w:r>
          </w:p>
        </w:tc>
      </w:tr>
    </w:tbl>
    <w:p w14:paraId="0A80C5A1" w14:textId="77777777" w:rsidR="00B17D5E" w:rsidRDefault="00000000">
      <w:r>
        <w:rPr>
          <w:b/>
        </w:rPr>
        <w:t xml:space="preserve">Important: </w:t>
      </w:r>
      <w:r>
        <w:t>For a first extension exercise, choose an exogenous variable. It keeps the coding task focused on indexing rather than on changing the model closure.</w:t>
      </w:r>
    </w:p>
    <w:p w14:paraId="092A5A2E" w14:textId="77777777" w:rsidR="00B17D5E" w:rsidRDefault="00000000">
      <w:pPr>
        <w:pStyle w:val="Heading1"/>
      </w:pPr>
      <w:r>
        <w:t>3. Choose names that fit the variable</w:t>
      </w:r>
    </w:p>
    <w:p w14:paraId="38D23C07" w14:textId="77777777" w:rsidR="00B17D5E" w:rsidRDefault="00000000">
      <w:r>
        <w:t>Keep the original aggregate name unchanged, because other equations already refer to it. Then add a clear name for the indexed components and a matching name for the component assumption.</w:t>
      </w:r>
    </w:p>
    <w:tbl>
      <w:tblPr>
        <w:tblStyle w:val="TableGrid"/>
        <w:tblW w:w="0" w:type="auto"/>
        <w:jc w:val="center"/>
        <w:tblLook w:val="04A0" w:firstRow="1" w:lastRow="0" w:firstColumn="1" w:lastColumn="0" w:noHBand="0" w:noVBand="1"/>
      </w:tblPr>
      <w:tblGrid>
        <w:gridCol w:w="2589"/>
        <w:gridCol w:w="2589"/>
        <w:gridCol w:w="2589"/>
        <w:gridCol w:w="2591"/>
      </w:tblGrid>
      <w:tr w:rsidR="00B17D5E" w14:paraId="0FA67E21" w14:textId="77777777">
        <w:trPr>
          <w:jc w:val="center"/>
        </w:trPr>
        <w:tc>
          <w:tcPr>
            <w:tcW w:w="2592" w:type="dxa"/>
            <w:shd w:val="clear" w:color="auto" w:fill="E6E6E6"/>
          </w:tcPr>
          <w:p w14:paraId="74559D8D" w14:textId="77777777" w:rsidR="00B17D5E" w:rsidRDefault="00000000">
            <w:r>
              <w:rPr>
                <w:b/>
              </w:rPr>
              <w:t>Aggregate</w:t>
            </w:r>
          </w:p>
        </w:tc>
        <w:tc>
          <w:tcPr>
            <w:tcW w:w="2592" w:type="dxa"/>
            <w:shd w:val="clear" w:color="auto" w:fill="E6E6E6"/>
          </w:tcPr>
          <w:p w14:paraId="138A0F3B" w14:textId="77777777" w:rsidR="00B17D5E" w:rsidRDefault="00000000">
            <w:r>
              <w:rPr>
                <w:b/>
              </w:rPr>
              <w:t>Components</w:t>
            </w:r>
          </w:p>
        </w:tc>
        <w:tc>
          <w:tcPr>
            <w:tcW w:w="2592" w:type="dxa"/>
            <w:shd w:val="clear" w:color="auto" w:fill="E6E6E6"/>
          </w:tcPr>
          <w:p w14:paraId="3276F837" w14:textId="77777777" w:rsidR="00B17D5E" w:rsidRDefault="00000000">
            <w:r>
              <w:rPr>
                <w:b/>
              </w:rPr>
              <w:t>Growth assumption</w:t>
            </w:r>
          </w:p>
        </w:tc>
        <w:tc>
          <w:tcPr>
            <w:tcW w:w="2592" w:type="dxa"/>
            <w:shd w:val="clear" w:color="auto" w:fill="E6E6E6"/>
          </w:tcPr>
          <w:p w14:paraId="191D2F26" w14:textId="77777777" w:rsidR="00B17D5E" w:rsidRDefault="00000000">
            <w:r>
              <w:rPr>
                <w:b/>
              </w:rPr>
              <w:t>Index set</w:t>
            </w:r>
          </w:p>
        </w:tc>
      </w:tr>
      <w:tr w:rsidR="00B17D5E" w14:paraId="349E5E94" w14:textId="77777777">
        <w:trPr>
          <w:jc w:val="center"/>
        </w:trPr>
        <w:tc>
          <w:tcPr>
            <w:tcW w:w="2592" w:type="dxa"/>
          </w:tcPr>
          <w:p w14:paraId="014169BF" w14:textId="77777777" w:rsidR="00B17D5E" w:rsidRDefault="00000000">
            <w:r>
              <w:t>IVG</w:t>
            </w:r>
          </w:p>
        </w:tc>
        <w:tc>
          <w:tcPr>
            <w:tcW w:w="2592" w:type="dxa"/>
          </w:tcPr>
          <w:p w14:paraId="458268E0" w14:textId="77777777" w:rsidR="00B17D5E" w:rsidRDefault="00000000">
            <w:r>
              <w:t>IVGI</w:t>
            </w:r>
          </w:p>
        </w:tc>
        <w:tc>
          <w:tcPr>
            <w:tcW w:w="2592" w:type="dxa"/>
          </w:tcPr>
          <w:p w14:paraId="36FE44D3" w14:textId="77777777" w:rsidR="00B17D5E" w:rsidRDefault="00000000">
            <w:r>
              <w:t>ivggr</w:t>
            </w:r>
          </w:p>
        </w:tc>
        <w:tc>
          <w:tcPr>
            <w:tcW w:w="2592" w:type="dxa"/>
          </w:tcPr>
          <w:p w14:paraId="53A323B9" w14:textId="77777777" w:rsidR="00B17D5E" w:rsidRDefault="00000000">
            <w:r>
              <w:t>public_investment_types</w:t>
            </w:r>
          </w:p>
        </w:tc>
      </w:tr>
      <w:tr w:rsidR="00B17D5E" w14:paraId="2FE2EE7B" w14:textId="77777777">
        <w:trPr>
          <w:jc w:val="center"/>
        </w:trPr>
        <w:tc>
          <w:tcPr>
            <w:tcW w:w="2592" w:type="dxa"/>
          </w:tcPr>
          <w:p w14:paraId="3A9F1C99" w14:textId="77777777" w:rsidR="00B17D5E" w:rsidRDefault="00000000">
            <w:r>
              <w:t>TG</w:t>
            </w:r>
          </w:p>
        </w:tc>
        <w:tc>
          <w:tcPr>
            <w:tcW w:w="2592" w:type="dxa"/>
          </w:tcPr>
          <w:p w14:paraId="0518E257" w14:textId="77777777" w:rsidR="00B17D5E" w:rsidRDefault="00000000">
            <w:r>
              <w:t>TGI</w:t>
            </w:r>
          </w:p>
        </w:tc>
        <w:tc>
          <w:tcPr>
            <w:tcW w:w="2592" w:type="dxa"/>
          </w:tcPr>
          <w:p w14:paraId="26AFE565" w14:textId="77777777" w:rsidR="00B17D5E" w:rsidRDefault="00000000">
            <w:r>
              <w:t>tggr</w:t>
            </w:r>
          </w:p>
        </w:tc>
        <w:tc>
          <w:tcPr>
            <w:tcW w:w="2592" w:type="dxa"/>
          </w:tcPr>
          <w:p w14:paraId="45001999" w14:textId="77777777" w:rsidR="00B17D5E" w:rsidRDefault="00000000">
            <w:r>
              <w:t>revenue_types</w:t>
            </w:r>
          </w:p>
        </w:tc>
      </w:tr>
      <w:tr w:rsidR="00B17D5E" w14:paraId="31EE5171" w14:textId="77777777">
        <w:trPr>
          <w:jc w:val="center"/>
        </w:trPr>
        <w:tc>
          <w:tcPr>
            <w:tcW w:w="2592" w:type="dxa"/>
          </w:tcPr>
          <w:p w14:paraId="2FE3ADBD" w14:textId="77777777" w:rsidR="00B17D5E" w:rsidRDefault="00000000">
            <w:r>
              <w:t>FDI</w:t>
            </w:r>
          </w:p>
        </w:tc>
        <w:tc>
          <w:tcPr>
            <w:tcW w:w="2592" w:type="dxa"/>
          </w:tcPr>
          <w:p w14:paraId="4C8D0952" w14:textId="77777777" w:rsidR="00B17D5E" w:rsidRDefault="00000000">
            <w:r>
              <w:t>FDII</w:t>
            </w:r>
          </w:p>
        </w:tc>
        <w:tc>
          <w:tcPr>
            <w:tcW w:w="2592" w:type="dxa"/>
          </w:tcPr>
          <w:p w14:paraId="59AB6A93" w14:textId="77777777" w:rsidR="00B17D5E" w:rsidRDefault="00000000">
            <w:r>
              <w:t>fdigr</w:t>
            </w:r>
          </w:p>
        </w:tc>
        <w:tc>
          <w:tcPr>
            <w:tcW w:w="2592" w:type="dxa"/>
          </w:tcPr>
          <w:p w14:paraId="202476CD" w14:textId="77777777" w:rsidR="00B17D5E" w:rsidRDefault="00000000">
            <w:r>
              <w:t>fdi_types</w:t>
            </w:r>
          </w:p>
        </w:tc>
      </w:tr>
      <w:tr w:rsidR="00B17D5E" w14:paraId="5361019D" w14:textId="77777777">
        <w:trPr>
          <w:jc w:val="center"/>
        </w:trPr>
        <w:tc>
          <w:tcPr>
            <w:tcW w:w="2592" w:type="dxa"/>
          </w:tcPr>
          <w:p w14:paraId="1EB73405" w14:textId="77777777" w:rsidR="00B17D5E" w:rsidRDefault="00000000">
            <w:r>
              <w:t>NTRP</w:t>
            </w:r>
          </w:p>
        </w:tc>
        <w:tc>
          <w:tcPr>
            <w:tcW w:w="2592" w:type="dxa"/>
          </w:tcPr>
          <w:p w14:paraId="755360BB" w14:textId="77777777" w:rsidR="00B17D5E" w:rsidRDefault="00000000">
            <w:r>
              <w:t>NTRPI</w:t>
            </w:r>
          </w:p>
        </w:tc>
        <w:tc>
          <w:tcPr>
            <w:tcW w:w="2592" w:type="dxa"/>
          </w:tcPr>
          <w:p w14:paraId="1AB2D9A0" w14:textId="77777777" w:rsidR="00B17D5E" w:rsidRDefault="00000000">
            <w:r>
              <w:t>ntrpgr</w:t>
            </w:r>
          </w:p>
        </w:tc>
        <w:tc>
          <w:tcPr>
            <w:tcW w:w="2592" w:type="dxa"/>
          </w:tcPr>
          <w:p w14:paraId="5A5393FC" w14:textId="77777777" w:rsidR="00B17D5E" w:rsidRDefault="00000000">
            <w:r>
              <w:t>transfer_types</w:t>
            </w:r>
          </w:p>
        </w:tc>
      </w:tr>
    </w:tbl>
    <w:p w14:paraId="4B87C06C" w14:textId="77777777" w:rsidR="00B17D5E" w:rsidRDefault="00000000">
      <w:pPr>
        <w:pStyle w:val="Heading1"/>
      </w:pPr>
      <w:r>
        <w:t>4. Add the new categories in sets.jl</w:t>
      </w:r>
    </w:p>
    <w:p w14:paraId="31EDC7A7" w14:textId="77777777" w:rsidR="00B17D5E" w:rsidRDefault="00000000">
      <w:pPr>
        <w:keepNext/>
      </w:pPr>
      <w:r>
        <w:t>Add the categories that the variable will be divided into. For government investment, for example:</w:t>
      </w:r>
    </w:p>
    <w:p w14:paraId="0A111209" w14:textId="77777777" w:rsidR="00B17D5E" w:rsidRDefault="00000000">
      <w:pPr>
        <w:pStyle w:val="CodeBlock"/>
        <w:shd w:val="clear" w:color="auto" w:fill="F2F2F2"/>
      </w:pPr>
      <w:r>
        <w:t>public_investment_types = (</w:t>
      </w:r>
      <w:r>
        <w:br/>
        <w:t xml:space="preserve">    :infrastructure,</w:t>
      </w:r>
      <w:r>
        <w:br/>
        <w:t xml:space="preserve">    :education,</w:t>
      </w:r>
      <w:r>
        <w:br/>
        <w:t xml:space="preserve">    :health,</w:t>
      </w:r>
      <w:r>
        <w:br/>
        <w:t>),</w:t>
      </w:r>
    </w:p>
    <w:p w14:paraId="4BED97DE" w14:textId="77777777" w:rsidR="00B17D5E" w:rsidRDefault="00000000">
      <w:pPr>
        <w:keepNext/>
      </w:pPr>
      <w:r>
        <w:lastRenderedPageBreak/>
        <w:t>For government revenue, the set could instead be:</w:t>
      </w:r>
    </w:p>
    <w:p w14:paraId="74E80D1E" w14:textId="77777777" w:rsidR="00B17D5E" w:rsidRDefault="00000000">
      <w:pPr>
        <w:pStyle w:val="CodeBlock"/>
        <w:shd w:val="clear" w:color="auto" w:fill="F2F2F2"/>
      </w:pPr>
      <w:r>
        <w:t>revenue_types = (</w:t>
      </w:r>
      <w:r>
        <w:br/>
        <w:t xml:space="preserve">    :income_tax,</w:t>
      </w:r>
      <w:r>
        <w:br/>
        <w:t xml:space="preserve">    :consumption_tax,</w:t>
      </w:r>
      <w:r>
        <w:br/>
        <w:t xml:space="preserve">    :other_revenue,</w:t>
      </w:r>
      <w:r>
        <w:br/>
        <w:t>),</w:t>
      </w:r>
    </w:p>
    <w:p w14:paraId="054C2034" w14:textId="77777777" w:rsidR="00B17D5E" w:rsidRDefault="00000000">
      <w:r>
        <w:t>Only add the set needed for the extension you are actually implementing.</w:t>
      </w:r>
    </w:p>
    <w:p w14:paraId="547C185F" w14:textId="77777777" w:rsidR="00B17D5E" w:rsidRDefault="00000000">
      <w:pPr>
        <w:pStyle w:val="Heading1"/>
      </w:pPr>
      <w:r>
        <w:t>5. Declare the indexed variables in Variables.jl</w:t>
      </w:r>
    </w:p>
    <w:p w14:paraId="37BFD82B" w14:textId="77777777" w:rsidR="00B17D5E" w:rsidRDefault="00000000">
      <w:pPr>
        <w:keepNext/>
      </w:pPr>
      <w:r>
        <w:t>Read the new set at the beginning of declare_variables!:</w:t>
      </w:r>
    </w:p>
    <w:p w14:paraId="55D4B36D" w14:textId="77777777" w:rsidR="00B17D5E" w:rsidRDefault="00000000">
      <w:pPr>
        <w:pStyle w:val="CodeBlock"/>
        <w:shd w:val="clear" w:color="auto" w:fill="F2F2F2"/>
      </w:pPr>
      <w:r>
        <w:t>public_investment_types =</w:t>
      </w:r>
      <w:r>
        <w:br/>
        <w:t xml:space="preserve">    sets.public_investment_types</w:t>
      </w:r>
    </w:p>
    <w:p w14:paraId="5BF43337" w14:textId="77777777" w:rsidR="00B17D5E" w:rsidRDefault="00000000">
      <w:pPr>
        <w:keepNext/>
      </w:pPr>
      <w:r>
        <w:t>Then declare the component variable and its assumption:</w:t>
      </w:r>
    </w:p>
    <w:p w14:paraId="425D9DEC" w14:textId="77777777" w:rsidR="00B17D5E" w:rsidRDefault="00000000">
      <w:pPr>
        <w:pStyle w:val="CodeBlock"/>
        <w:shd w:val="clear" w:color="auto" w:fill="F2F2F2"/>
      </w:pPr>
      <w:r>
        <w:t>IVGI[public_investment_types, years]</w:t>
      </w:r>
      <w:r>
        <w:br/>
        <w:t>ivggr[public_investment_types, proj]</w:t>
      </w:r>
    </w:p>
    <w:p w14:paraId="1C803184" w14:textId="77777777" w:rsidR="00B17D5E" w:rsidRDefault="00000000">
      <w:pPr>
        <w:keepNext/>
      </w:pPr>
      <w:r>
        <w:t>A revenue extension would use the same structure:</w:t>
      </w:r>
    </w:p>
    <w:p w14:paraId="7CF85311" w14:textId="77777777" w:rsidR="00B17D5E" w:rsidRDefault="00000000">
      <w:pPr>
        <w:pStyle w:val="CodeBlock"/>
        <w:shd w:val="clear" w:color="auto" w:fill="F2F2F2"/>
      </w:pPr>
      <w:r>
        <w:t>TGI[revenue_types, years]</w:t>
      </w:r>
      <w:r>
        <w:br/>
        <w:t>tggr[revenue_types, proj]</w:t>
      </w:r>
    </w:p>
    <w:p w14:paraId="5D97A344" w14:textId="77777777" w:rsidR="00B17D5E" w:rsidRDefault="00000000">
      <w:r>
        <w:t>If the original aggregate was exogenous but will now be calculated from the components, move the aggregate declaration to the endogenous section.</w:t>
      </w:r>
    </w:p>
    <w:p w14:paraId="1D5F5DB8" w14:textId="77777777" w:rsidR="00B17D5E" w:rsidRDefault="00000000">
      <w:r>
        <w:t>Finally, add the new variables to the return tuple and add the component outputs:</w:t>
      </w:r>
    </w:p>
    <w:p w14:paraId="6E9B128A" w14:textId="77777777" w:rsidR="00B17D5E" w:rsidRDefault="00000000">
      <w:pPr>
        <w:pStyle w:val="CodeBlock"/>
        <w:shd w:val="clear" w:color="auto" w:fill="F2F2F2"/>
      </w:pPr>
      <w:r>
        <w:t>[(:IVGI, type) for type in MODEL_SETS.public_investment_types]...</w:t>
      </w:r>
      <w:r>
        <w:br/>
      </w:r>
      <w:r>
        <w:br/>
        <w:t>[(:TGI, type) for type in MODEL_SETS.revenue_types]...</w:t>
      </w:r>
    </w:p>
    <w:p w14:paraId="4E2328E6" w14:textId="77777777" w:rsidR="00B17D5E" w:rsidRDefault="00000000">
      <w:pPr>
        <w:pStyle w:val="Heading1"/>
      </w:pPr>
      <w:r>
        <w:t>6. Add component assumptions in assumptions.jl</w:t>
      </w:r>
    </w:p>
    <w:p w14:paraId="35E4E7A2" w14:textId="77777777" w:rsidR="00B17D5E" w:rsidRDefault="00000000">
      <w:pPr>
        <w:keepNext/>
      </w:pPr>
      <w:r>
        <w:t>Each component needs its own assumption. At the start, it is often useful to give every component the same growth rate so that the extended model reproduces the old aggregate path.</w:t>
      </w:r>
    </w:p>
    <w:p w14:paraId="2996F0CB" w14:textId="77777777" w:rsidR="00B17D5E" w:rsidRDefault="00000000">
      <w:pPr>
        <w:pStyle w:val="CodeBlock"/>
        <w:shd w:val="clear" w:color="auto" w:fill="F2F2F2"/>
      </w:pPr>
      <w:r>
        <w:t>government_investment_growth = Dict(</w:t>
      </w:r>
      <w:r>
        <w:br/>
        <w:t xml:space="preserve">    :infrastructure =&gt; 0.050,</w:t>
      </w:r>
      <w:r>
        <w:br/>
        <w:t xml:space="preserve">    :education =&gt; 0.050,</w:t>
      </w:r>
      <w:r>
        <w:br/>
        <w:t xml:space="preserve">    :health =&gt; 0.050,</w:t>
      </w:r>
      <w:r>
        <w:br/>
        <w:t>),</w:t>
      </w:r>
    </w:p>
    <w:p w14:paraId="1EA06567" w14:textId="77777777" w:rsidR="00B17D5E" w:rsidRDefault="00000000">
      <w:pPr>
        <w:keepNext/>
      </w:pPr>
      <w:r>
        <w:t>If the source data only contains the aggregate base-year value, add starting shares as well:</w:t>
      </w:r>
    </w:p>
    <w:p w14:paraId="0A5EE91A" w14:textId="77777777" w:rsidR="00B17D5E" w:rsidRDefault="00000000">
      <w:pPr>
        <w:pStyle w:val="CodeBlock"/>
        <w:shd w:val="clear" w:color="auto" w:fill="F2F2F2"/>
      </w:pPr>
      <w:r>
        <w:t>government_investment_shares = Dict(</w:t>
      </w:r>
      <w:r>
        <w:br/>
        <w:t xml:space="preserve">    :infrastructure =&gt; 0.60,</w:t>
      </w:r>
      <w:r>
        <w:br/>
        <w:t xml:space="preserve">    :education =&gt; 0.20,</w:t>
      </w:r>
      <w:r>
        <w:br/>
        <w:t xml:space="preserve">    :health =&gt; 0.20,</w:t>
      </w:r>
      <w:r>
        <w:br/>
        <w:t>),</w:t>
      </w:r>
    </w:p>
    <w:p w14:paraId="76214543" w14:textId="77777777" w:rsidR="00B17D5E" w:rsidRDefault="00000000">
      <w:r>
        <w:t>These shares are only used to create the base-year component values. Once the projection starts, the components can grow at different rates and their shares will change.</w:t>
      </w:r>
    </w:p>
    <w:p w14:paraId="756B0BBB" w14:textId="77777777" w:rsidR="00B17D5E" w:rsidRDefault="00000000">
      <w:pPr>
        <w:pStyle w:val="Heading1"/>
      </w:pPr>
      <w:r>
        <w:t>7. Create the base-year components in base_year.jl</w:t>
      </w:r>
    </w:p>
    <w:p w14:paraId="26ADF075" w14:textId="77777777" w:rsidR="00B17D5E" w:rsidRDefault="00000000">
      <w:pPr>
        <w:keepNext/>
      </w:pPr>
      <w:r>
        <w:t>The component values must be created after the aggregate value has already been placed in the base-year dictionary.</w:t>
      </w:r>
    </w:p>
    <w:p w14:paraId="79EE8527" w14:textId="77777777" w:rsidR="00B17D5E" w:rsidRDefault="00000000">
      <w:pPr>
        <w:pStyle w:val="CodeBlock"/>
        <w:shd w:val="clear" w:color="auto" w:fill="F2F2F2"/>
      </w:pPr>
      <w:r>
        <w:t>for investment_type in MODEL_SETS.public_investment_types</w:t>
      </w:r>
      <w:r>
        <w:br/>
        <w:t xml:space="preserve">    v[(:IVGI, investment_type)] =</w:t>
      </w:r>
      <w:r>
        <w:br/>
        <w:t xml:space="preserve">        assumptions.government_investment_shares[investment_type] *</w:t>
      </w:r>
      <w:r>
        <w:br/>
        <w:t xml:space="preserve">        v[:IVG]</w:t>
      </w:r>
      <w:r>
        <w:br/>
        <w:t>end</w:t>
      </w:r>
    </w:p>
    <w:p w14:paraId="4E772267" w14:textId="77777777" w:rsidR="00B17D5E" w:rsidRDefault="00000000">
      <w:pPr>
        <w:keepNext/>
      </w:pPr>
      <w:r>
        <w:t>For government revenue, the equivalent code would be:</w:t>
      </w:r>
    </w:p>
    <w:p w14:paraId="4B6F9F5C" w14:textId="77777777" w:rsidR="00B17D5E" w:rsidRDefault="00000000">
      <w:pPr>
        <w:pStyle w:val="CodeBlock"/>
        <w:shd w:val="clear" w:color="auto" w:fill="F2F2F2"/>
      </w:pPr>
      <w:r>
        <w:t>for revenue_type in MODEL_SETS.revenue_types</w:t>
      </w:r>
      <w:r>
        <w:br/>
        <w:t xml:space="preserve">    v[(:TGI, revenue_type)] =</w:t>
      </w:r>
      <w:r>
        <w:br/>
        <w:t xml:space="preserve">        assumptions.government_revenue_shares[revenue_type] *</w:t>
      </w:r>
      <w:r>
        <w:br/>
        <w:t xml:space="preserve">        v[:TG]</w:t>
      </w:r>
      <w:r>
        <w:br/>
        <w:t>end</w:t>
      </w:r>
    </w:p>
    <w:p w14:paraId="14417360" w14:textId="77777777" w:rsidR="00B17D5E" w:rsidRDefault="00000000">
      <w:r>
        <w:rPr>
          <w:b/>
        </w:rPr>
        <w:t xml:space="preserve">Important: </w:t>
      </w:r>
      <w:r>
        <w:t>The order matters. If the aggregate comes from flows, put this block after the loop that copies the flows into v. Otherwise the aggregate key will not exist yet.</w:t>
      </w:r>
    </w:p>
    <w:p w14:paraId="2DF3F362" w14:textId="77777777" w:rsidR="00B17D5E" w:rsidRDefault="00000000">
      <w:pPr>
        <w:pStyle w:val="Heading1"/>
      </w:pPr>
      <w:r>
        <w:t>8. Create the indexed paths in projection_paths.jl</w:t>
      </w:r>
    </w:p>
    <w:p w14:paraId="02CCB159" w14:textId="77777777" w:rsidR="00B17D5E" w:rsidRDefault="00000000">
      <w:pPr>
        <w:keepNext/>
      </w:pPr>
      <w:r>
        <w:t>Add the new component assumption to growth = merge(...):</w:t>
      </w:r>
    </w:p>
    <w:p w14:paraId="01BC6666" w14:textId="77777777" w:rsidR="00B17D5E" w:rsidRDefault="00000000">
      <w:pPr>
        <w:pStyle w:val="CodeBlock"/>
        <w:shd w:val="clear" w:color="auto" w:fill="F2F2F2"/>
      </w:pPr>
      <w:r>
        <w:t>indexed_paths(</w:t>
      </w:r>
      <w:r>
        <w:br/>
        <w:t xml:space="preserve">    :ivggr,</w:t>
      </w:r>
      <w:r>
        <w:br/>
        <w:t xml:space="preserve">    assumptions.government_investment_growth,</w:t>
      </w:r>
      <w:r>
        <w:br/>
        <w:t xml:space="preserve">    years,</w:t>
      </w:r>
      <w:r>
        <w:br/>
        <w:t>),</w:t>
      </w:r>
    </w:p>
    <w:p w14:paraId="33B0F9FA" w14:textId="77777777" w:rsidR="00B17D5E" w:rsidRDefault="00000000">
      <w:pPr>
        <w:keepNext/>
      </w:pPr>
      <w:r>
        <w:lastRenderedPageBreak/>
        <w:t>A government revenue extension would instead add:</w:t>
      </w:r>
    </w:p>
    <w:p w14:paraId="2772A8A9" w14:textId="77777777" w:rsidR="00B17D5E" w:rsidRDefault="00000000">
      <w:pPr>
        <w:pStyle w:val="CodeBlock"/>
        <w:shd w:val="clear" w:color="auto" w:fill="F2F2F2"/>
      </w:pPr>
      <w:r>
        <w:t>indexed_paths(</w:t>
      </w:r>
      <w:r>
        <w:br/>
        <w:t xml:space="preserve">    :tggr,</w:t>
      </w:r>
      <w:r>
        <w:br/>
        <w:t xml:space="preserve">    assumptions.government_revenue_growth,</w:t>
      </w:r>
      <w:r>
        <w:br/>
        <w:t xml:space="preserve">    years,</w:t>
      </w:r>
      <w:r>
        <w:br/>
        <w:t>),</w:t>
      </w:r>
    </w:p>
    <w:p w14:paraId="74BD1A1B" w14:textId="77777777" w:rsidR="00B17D5E" w:rsidRDefault="00000000">
      <w:pPr>
        <w:keepNext/>
      </w:pPr>
      <w:r>
        <w:t>If the aggregate previously had its own exogenous path, remove that line from growth_rates. The aggregate will now be calculated inside the model.</w:t>
      </w:r>
    </w:p>
    <w:p w14:paraId="159F7F4A" w14:textId="77777777" w:rsidR="00B17D5E" w:rsidRDefault="00000000">
      <w:pPr>
        <w:pStyle w:val="CodeBlock"/>
        <w:shd w:val="clear" w:color="auto" w:fill="F2F2F2"/>
      </w:pPr>
      <w:r>
        <w:t># Remove for a government investment extension:</w:t>
      </w:r>
      <w:r>
        <w:br/>
        <w:t>IVG = assumptions.government_investment_growth,</w:t>
      </w:r>
      <w:r>
        <w:br/>
      </w:r>
      <w:r>
        <w:br/>
        <w:t># Remove for a government revenue extension:</w:t>
      </w:r>
      <w:r>
        <w:br/>
        <w:t>TG = assumptions.government_revenue_growth,</w:t>
      </w:r>
    </w:p>
    <w:p w14:paraId="22E2E891" w14:textId="77777777" w:rsidR="00B17D5E" w:rsidRDefault="00000000">
      <w:pPr>
        <w:pStyle w:val="Heading1"/>
      </w:pPr>
      <w:r>
        <w:t>9. Pass the new set into the relevant module</w:t>
      </w:r>
    </w:p>
    <w:p w14:paraId="7600BC5E" w14:textId="77777777" w:rsidR="00B17D5E" w:rsidRDefault="00000000">
      <w:pPr>
        <w:keepNext/>
      </w:pPr>
      <w:r>
        <w:t>The equation module needs to know which categories it should loop over. Pass the new set from model.jl when the block is created.</w:t>
      </w:r>
    </w:p>
    <w:p w14:paraId="15475D1C" w14:textId="77777777" w:rsidR="00B17D5E" w:rsidRDefault="00000000">
      <w:pPr>
        <w:pStyle w:val="CodeBlock"/>
        <w:shd w:val="clear" w:color="auto" w:fill="F2F2F2"/>
      </w:pPr>
      <w:r>
        <w:t>government_budget =</w:t>
      </w:r>
      <w:r>
        <w:br/>
        <w:t xml:space="preserve">    GovernmentBudget.define_equations(</w:t>
      </w:r>
      <w:r>
        <w:br/>
        <w:t xml:space="preserve">        db,</w:t>
      </w:r>
      <w:r>
        <w:br/>
        <w:t xml:space="preserve">        vars;</w:t>
      </w:r>
      <w:r>
        <w:br/>
        <w:t xml:space="preserve">        public_investment_types =</w:t>
      </w:r>
      <w:r>
        <w:br/>
        <w:t xml:space="preserve">            MODEL_SETS.public_investment_types,</w:t>
      </w:r>
      <w:r>
        <w:br/>
        <w:t xml:space="preserve">        proj = projection_periods,</w:t>
      </w:r>
      <w:r>
        <w:br/>
        <w:t xml:space="preserve">    )</w:t>
      </w:r>
    </w:p>
    <w:p w14:paraId="6DCBB17E" w14:textId="77777777" w:rsidR="00B17D5E" w:rsidRDefault="00000000">
      <w:r>
        <w:t>If the extension belongs in another module, pass the set to that module instead.</w:t>
      </w:r>
    </w:p>
    <w:p w14:paraId="3A652310" w14:textId="77777777" w:rsidR="00B17D5E" w:rsidRDefault="00000000">
      <w:pPr>
        <w:pStyle w:val="Heading1"/>
      </w:pPr>
      <w:r>
        <w:t>10. Add the component equations and the aggregation equation</w:t>
      </w:r>
    </w:p>
    <w:p w14:paraId="54FEF30E" w14:textId="77777777" w:rsidR="00B17D5E" w:rsidRDefault="00000000">
      <w:r>
        <w:t>Update the module function header so it receives the new set, and add the new variables to the vars unpacking. Then add the two equations.</w:t>
      </w:r>
    </w:p>
    <w:p w14:paraId="53BF3C8C" w14:textId="77777777" w:rsidR="00B17D5E" w:rsidRDefault="00000000">
      <w:pPr>
        <w:keepNext/>
      </w:pPr>
      <w:r>
        <w:t>Government investment example:</w:t>
      </w:r>
    </w:p>
    <w:p w14:paraId="6A82A63E" w14:textId="77777777" w:rsidR="00B17D5E" w:rsidRDefault="00000000">
      <w:pPr>
        <w:pStyle w:val="CodeBlock"/>
        <w:shd w:val="clear" w:color="auto" w:fill="F2F2F2"/>
      </w:pPr>
      <w:r>
        <w:t>IVGI[i = public_investment_types, t = proj],</w:t>
      </w:r>
      <w:r>
        <w:br/>
        <w:t xml:space="preserve">    IVGI[i, t] ==</w:t>
      </w:r>
      <w:r>
        <w:br/>
        <w:t xml:space="preserve">        (1 + ivggr[i, t]) * IVGI[i, t - 1]</w:t>
      </w:r>
      <w:r>
        <w:br/>
      </w:r>
      <w:r>
        <w:br/>
        <w:t>IVG[t = proj],</w:t>
      </w:r>
      <w:r>
        <w:br/>
        <w:t xml:space="preserve">    IVG[t] ==</w:t>
      </w:r>
      <w:r>
        <w:br/>
        <w:t xml:space="preserve">        sum(IVGI[i, t] for i in public_investment_types)</w:t>
      </w:r>
    </w:p>
    <w:p w14:paraId="31307B21" w14:textId="77777777" w:rsidR="00B17D5E" w:rsidRDefault="00000000">
      <w:pPr>
        <w:keepNext/>
      </w:pPr>
      <w:r>
        <w:t>Government revenue example:</w:t>
      </w:r>
    </w:p>
    <w:p w14:paraId="2BF07C54" w14:textId="77777777" w:rsidR="00B17D5E" w:rsidRDefault="00000000">
      <w:pPr>
        <w:pStyle w:val="CodeBlock"/>
        <w:shd w:val="clear" w:color="auto" w:fill="F2F2F2"/>
      </w:pPr>
      <w:r>
        <w:t>TGI[i = revenue_types, t = proj],</w:t>
      </w:r>
      <w:r>
        <w:br/>
        <w:t xml:space="preserve">    TGI[i, t] ==</w:t>
      </w:r>
      <w:r>
        <w:br/>
        <w:t xml:space="preserve">        (1 + tggr[i, t]) * TGI[i, t - 1]</w:t>
      </w:r>
      <w:r>
        <w:br/>
      </w:r>
      <w:r>
        <w:br/>
        <w:t>TG[t = proj],</w:t>
      </w:r>
      <w:r>
        <w:br/>
        <w:t xml:space="preserve">    TG[t] ==</w:t>
      </w:r>
      <w:r>
        <w:br/>
        <w:t xml:space="preserve">        sum(TGI[i, t] for i in revenue_types)</w:t>
      </w:r>
    </w:p>
    <w:p w14:paraId="43DE661A" w14:textId="77777777" w:rsidR="00B17D5E" w:rsidRDefault="00000000">
      <w:r>
        <w:rPr>
          <w:b/>
        </w:rPr>
        <w:t xml:space="preserve">Important: </w:t>
      </w:r>
      <w:r>
        <w:t>Check that no other equation or path is still determining the same aggregate. The aggregate should have one clear source in the model.</w:t>
      </w:r>
    </w:p>
    <w:p w14:paraId="45FFC724" w14:textId="77777777" w:rsidR="00B17D5E" w:rsidRDefault="00000000">
      <w:pPr>
        <w:pStyle w:val="Heading1"/>
      </w:pPr>
      <w:r>
        <w:t>11. Add the results to report.jl</w:t>
      </w:r>
    </w:p>
    <w:p w14:paraId="008785CD" w14:textId="77777777" w:rsidR="00B17D5E" w:rsidRDefault="00000000">
      <w:pPr>
        <w:keepNext/>
      </w:pPr>
      <w:r>
        <w:t>If the aggregate has moved from exogenous to endogenous, move its report row as well. Then add one row for each component.</w:t>
      </w:r>
    </w:p>
    <w:p w14:paraId="6A24B527" w14:textId="77777777" w:rsidR="00B17D5E" w:rsidRDefault="00000000">
      <w:pPr>
        <w:pStyle w:val="CodeBlock"/>
        <w:shd w:val="clear" w:color="auto" w:fill="F2F2F2"/>
      </w:pPr>
      <w:r>
        <w:t>(</w:t>
      </w:r>
      <w:r>
        <w:br/>
        <w:t xml:space="preserve">    group = "Public investment",</w:t>
      </w:r>
      <w:r>
        <w:br/>
        <w:t xml:space="preserve">    label = "Infrastructure investment",</w:t>
      </w:r>
      <w:r>
        <w:br/>
        <w:t xml:space="preserve">    key = (:IVGI, :infrastructure),</w:t>
      </w:r>
      <w:r>
        <w:br/>
        <w:t>),</w:t>
      </w:r>
      <w:r>
        <w:br/>
      </w:r>
      <w:r>
        <w:br/>
        <w:t>(</w:t>
      </w:r>
      <w:r>
        <w:br/>
        <w:t xml:space="preserve">    group = "Government revenue",</w:t>
      </w:r>
      <w:r>
        <w:br/>
        <w:t xml:space="preserve">    label = "Income-tax revenue",</w:t>
      </w:r>
      <w:r>
        <w:br/>
        <w:t xml:space="preserve">    key = (:TGI, :income_tax),</w:t>
      </w:r>
      <w:r>
        <w:br/>
        <w:t>),</w:t>
      </w:r>
    </w:p>
    <w:p w14:paraId="0D032720" w14:textId="3C84A50A" w:rsidR="00B17D5E" w:rsidRDefault="00000000">
      <w:pPr>
        <w:pStyle w:val="Heading1"/>
      </w:pPr>
      <w:r>
        <w:t>1</w:t>
      </w:r>
      <w:r w:rsidR="00494BA8">
        <w:t>2</w:t>
      </w:r>
      <w:r>
        <w:t>. Year-specific component assumptions</w:t>
      </w:r>
    </w:p>
    <w:p w14:paraId="4D00A202" w14:textId="77777777" w:rsidR="00B17D5E" w:rsidRDefault="00000000">
      <w:pPr>
        <w:keepNext/>
      </w:pPr>
      <w:r>
        <w:t>A component can have one growth rate for the whole projection:</w:t>
      </w:r>
    </w:p>
    <w:p w14:paraId="2C540716" w14:textId="77777777" w:rsidR="00B17D5E" w:rsidRDefault="00000000">
      <w:pPr>
        <w:pStyle w:val="CodeBlock"/>
        <w:shd w:val="clear" w:color="auto" w:fill="F2F2F2"/>
      </w:pPr>
      <w:r>
        <w:t>:infrastructure =&gt; 0.050</w:t>
      </w:r>
    </w:p>
    <w:p w14:paraId="2EA0A119" w14:textId="77777777" w:rsidR="00B17D5E" w:rsidRDefault="00000000">
      <w:pPr>
        <w:keepNext/>
      </w:pPr>
      <w:r>
        <w:lastRenderedPageBreak/>
        <w:t>or a different rate in a particular year:</w:t>
      </w:r>
    </w:p>
    <w:p w14:paraId="63510835" w14:textId="77777777" w:rsidR="00B17D5E" w:rsidRDefault="00000000">
      <w:pPr>
        <w:pStyle w:val="CodeBlock"/>
        <w:shd w:val="clear" w:color="auto" w:fill="F2F2F2"/>
      </w:pPr>
      <w:r>
        <w:t>:infrastructure =&gt; Dict(</w:t>
      </w:r>
      <w:r>
        <w:br/>
        <w:t xml:space="preserve">    :default =&gt; 0.050,</w:t>
      </w:r>
      <w:r>
        <w:br/>
        <w:t xml:space="preserve">    2028 =&gt; 0.120,</w:t>
      </w:r>
      <w:r>
        <w:br/>
        <w:t>),</w:t>
      </w:r>
    </w:p>
    <w:p w14:paraId="36B4C813" w14:textId="77777777" w:rsidR="00B17D5E" w:rsidRDefault="00000000">
      <w:r>
        <w:t>This is useful for introducing a temporary policy change or shock without creating a separate scenario system.</w:t>
      </w:r>
    </w:p>
    <w:p w14:paraId="1F2910C9" w14:textId="610A7D30" w:rsidR="00B17D5E" w:rsidRDefault="00B17D5E"/>
    <w:sectPr w:rsidR="00B17D5E" w:rsidSect="00034616">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441170">
    <w:abstractNumId w:val="8"/>
  </w:num>
  <w:num w:numId="2" w16cid:durableId="1400439410">
    <w:abstractNumId w:val="6"/>
  </w:num>
  <w:num w:numId="3" w16cid:durableId="1196692247">
    <w:abstractNumId w:val="5"/>
  </w:num>
  <w:num w:numId="4" w16cid:durableId="188682063">
    <w:abstractNumId w:val="4"/>
  </w:num>
  <w:num w:numId="5" w16cid:durableId="109395831">
    <w:abstractNumId w:val="7"/>
  </w:num>
  <w:num w:numId="6" w16cid:durableId="1238050779">
    <w:abstractNumId w:val="3"/>
  </w:num>
  <w:num w:numId="7" w16cid:durableId="1230310988">
    <w:abstractNumId w:val="2"/>
  </w:num>
  <w:num w:numId="8" w16cid:durableId="1409037345">
    <w:abstractNumId w:val="1"/>
  </w:num>
  <w:num w:numId="9" w16cid:durableId="196596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117"/>
    <w:rsid w:val="0006063C"/>
    <w:rsid w:val="0015074B"/>
    <w:rsid w:val="001C3A8D"/>
    <w:rsid w:val="0029639D"/>
    <w:rsid w:val="00326F90"/>
    <w:rsid w:val="00494BA8"/>
    <w:rsid w:val="008068A5"/>
    <w:rsid w:val="00AA1D8D"/>
    <w:rsid w:val="00B17D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F8651"/>
  <w14:defaultImageDpi w14:val="300"/>
  <w15:docId w15:val="{15F871AC-F902-420A-8497-4041C258F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0"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60" w:line="240" w:lineRule="auto"/>
      <w:contextualSpacing/>
    </w:pPr>
    <w:rPr>
      <w:rFonts w:asciiTheme="majorHAnsi" w:eastAsiaTheme="majorEastAsia" w:hAnsiTheme="majorHAnsi" w:cstheme="majorBidi"/>
      <w:b/>
      <w:color w:val="17365D" w:themeColor="text2" w:themeShade="BF"/>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40" w:after="80" w:line="235" w:lineRule="auto"/>
      <w:ind w:left="202" w:right="58"/>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1180</Words>
  <Characters>6625</Characters>
  <Application>Microsoft Office Word</Application>
  <DocSecurity>0</DocSecurity>
  <Lines>200</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Wenzel Pedersen</cp:lastModifiedBy>
  <cp:revision>2</cp:revision>
  <dcterms:created xsi:type="dcterms:W3CDTF">2026-07-13T13:33:00Z</dcterms:created>
  <dcterms:modified xsi:type="dcterms:W3CDTF">2026-07-13T13:33:00Z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